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spacing w:val="-4"/>
        </w:rPr>
        <w:t>115</w:t>
      </w:r>
      <w:r>
        <w:rPr>
          <w:spacing w:val="-5"/>
        </w:rPr>
        <w:t>年度新北電競基地活動場地使用切結書</w:t>
      </w:r>
    </w:p>
    <w:p>
      <w:pPr>
        <w:spacing w:line="427" w:lineRule="exact" w:before="0"/>
        <w:ind w:left="252" w:right="0" w:firstLine="0"/>
        <w:jc w:val="left"/>
        <w:rPr>
          <w:sz w:val="24"/>
        </w:rPr>
      </w:pPr>
      <w:r>
        <w:rPr>
          <w:spacing w:val="-2"/>
          <w:sz w:val="24"/>
        </w:rPr>
        <w:t>本單位/本人</w:t>
      </w:r>
    </w:p>
    <w:p>
      <w:pPr>
        <w:pStyle w:val="BodyText"/>
        <w:spacing w:line="20" w:lineRule="exact"/>
        <w:ind w:left="166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153660" cy="6350"/>
                <wp:effectExtent l="0" t="0" r="0" b="0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153660" cy="6350"/>
                          <a:chExt cx="5153660" cy="63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15366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3660" h="6350">
                                <a:moveTo>
                                  <a:pt x="5153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153533" y="6096"/>
                                </a:lnTo>
                                <a:lnTo>
                                  <a:pt x="5153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05.8pt;height:.5pt;mso-position-horizontal-relative:char;mso-position-vertical-relative:line" id="docshapegroup4" coordorigin="0,0" coordsize="8116,10">
                <v:rect style="position:absolute;left:0;top:0;width:8116;height:10" id="docshape5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0"/>
        <w:rPr>
          <w:sz w:val="12"/>
        </w:rPr>
      </w:pPr>
    </w:p>
    <w:tbl>
      <w:tblPr>
        <w:tblW w:w="0" w:type="auto"/>
        <w:jc w:val="left"/>
        <w:tblInd w:w="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41"/>
      </w:tblGrid>
      <w:tr>
        <w:trPr>
          <w:trHeight w:val="387" w:hRule="atLeast"/>
        </w:trPr>
        <w:tc>
          <w:tcPr>
            <w:tcW w:w="10441" w:type="dxa"/>
          </w:tcPr>
          <w:p>
            <w:pPr>
              <w:pStyle w:val="TableParagraph"/>
              <w:tabs>
                <w:tab w:pos="635" w:val="left" w:leader="none"/>
                <w:tab w:pos="2133" w:val="left" w:leader="none"/>
                <w:tab w:pos="2854" w:val="left" w:leader="none"/>
                <w:tab w:pos="3574" w:val="left" w:leader="none"/>
                <w:tab w:pos="4294" w:val="left" w:leader="none"/>
                <w:tab w:pos="5494" w:val="left" w:leader="none"/>
                <w:tab w:pos="6214" w:val="left" w:leader="none"/>
                <w:tab w:pos="6934" w:val="left" w:leader="none"/>
                <w:tab w:pos="7654" w:val="left" w:leader="none"/>
              </w:tabs>
              <w:spacing w:line="368" w:lineRule="exact"/>
              <w:ind w:left="155"/>
              <w:rPr>
                <w:sz w:val="24"/>
              </w:rPr>
            </w:pPr>
            <w:r>
              <w:rPr>
                <w:spacing w:val="-10"/>
                <w:sz w:val="24"/>
              </w:rPr>
              <w:t>將</w:t>
            </w:r>
            <w:r>
              <w:rPr>
                <w:sz w:val="24"/>
              </w:rPr>
              <w:tab/>
              <w:t>於 </w:t>
            </w:r>
            <w:r>
              <w:rPr>
                <w:sz w:val="24"/>
                <w:u w:val="single"/>
              </w:rPr>
              <w:t> 115</w:t>
            </w:r>
            <w:r>
              <w:rPr>
                <w:spacing w:val="-10"/>
                <w:sz w:val="24"/>
                <w:u w:val="single"/>
              </w:rPr>
              <w:t>年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月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日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時</w:t>
            </w:r>
            <w:r>
              <w:rPr>
                <w:sz w:val="24"/>
                <w:u w:val="single"/>
              </w:rPr>
              <w:tab/>
              <w:t>分</w:t>
            </w:r>
            <w:r>
              <w:rPr>
                <w:spacing w:val="-3"/>
                <w:sz w:val="24"/>
                <w:u w:val="single"/>
              </w:rPr>
              <w:t> </w:t>
            </w:r>
            <w:r>
              <w:rPr>
                <w:sz w:val="24"/>
              </w:rPr>
              <w:t> </w:t>
            </w:r>
            <w:r>
              <w:rPr>
                <w:spacing w:val="-10"/>
                <w:sz w:val="24"/>
              </w:rPr>
              <w:t>至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月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日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時</w:t>
            </w:r>
            <w:r>
              <w:rPr>
                <w:sz w:val="24"/>
                <w:u w:val="single"/>
              </w:rPr>
              <w:tab/>
              <w:t>分 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舉行活</w:t>
            </w:r>
            <w:r>
              <w:rPr>
                <w:spacing w:val="-10"/>
                <w:sz w:val="24"/>
              </w:rPr>
              <w:t>動</w:t>
            </w:r>
          </w:p>
        </w:tc>
      </w:tr>
      <w:tr>
        <w:trPr>
          <w:trHeight w:val="10414" w:hRule="atLeast"/>
        </w:trPr>
        <w:tc>
          <w:tcPr>
            <w:tcW w:w="10441" w:type="dxa"/>
          </w:tcPr>
          <w:p>
            <w:pPr>
              <w:pStyle w:val="TableParagraph"/>
              <w:spacing w:line="324" w:lineRule="exact" w:before="17"/>
              <w:ind w:left="50"/>
              <w:rPr>
                <w:sz w:val="20"/>
              </w:rPr>
            </w:pPr>
            <w:r>
              <w:rPr>
                <w:spacing w:val="-3"/>
                <w:sz w:val="20"/>
              </w:rPr>
              <w:t>一、 本單位/本人已詳讀以下條款，並願遵守相關規定，善盡場地使用人責任。</w:t>
            </w:r>
          </w:p>
          <w:p>
            <w:pPr>
              <w:pStyle w:val="TableParagraph"/>
              <w:spacing w:line="182" w:lineRule="auto" w:before="20"/>
              <w:ind w:right="48" w:hanging="481"/>
              <w:rPr>
                <w:sz w:val="20"/>
              </w:rPr>
            </w:pPr>
            <w:r>
              <w:rPr>
                <w:w w:val="99"/>
                <w:sz w:val="20"/>
              </w:rPr>
              <w:t>二、</w:t>
            </w:r>
            <w:r>
              <w:rPr>
                <w:spacing w:val="-9"/>
                <w:sz w:val="20"/>
              </w:rPr>
              <w:t>  </w:t>
            </w:r>
            <w:r>
              <w:rPr>
                <w:w w:val="99"/>
                <w:sz w:val="20"/>
              </w:rPr>
              <w:t>場地及電腦設備如需借用應先確認硬體規格與效能是否合乎需求。使用前應確認場地與設備狀態是否正常，發現</w:t>
            </w:r>
            <w:r>
              <w:rPr>
                <w:spacing w:val="-1"/>
                <w:w w:val="99"/>
                <w:sz w:val="20"/>
              </w:rPr>
              <w:t>有損壞異狀應即時反應，否則須負損壞賠償責任(場地損壞則活動後將依據場地暨設備單日全場借用價值乘以借用</w:t>
            </w:r>
            <w:r>
              <w:rPr>
                <w:w w:val="99"/>
                <w:sz w:val="20"/>
              </w:rPr>
              <w:t>天數收取賠償，硬體設備損壞、遺失則依據該硬體市場建議售價收取賠償)，場地使用期間因申請單位/申請人及活動成員之行為，造成現場人員、設備及財物損害，申請單位/申請人願負賠償責任。</w:t>
            </w:r>
          </w:p>
          <w:p>
            <w:pPr>
              <w:pStyle w:val="TableParagraph"/>
              <w:spacing w:line="182" w:lineRule="auto" w:before="3"/>
              <w:ind w:right="230" w:hanging="481"/>
              <w:rPr>
                <w:sz w:val="20"/>
              </w:rPr>
            </w:pPr>
            <w:r>
              <w:rPr>
                <w:sz w:val="20"/>
              </w:rPr>
              <w:t>三、 申請單位/申請人於活動結束後，會確實將場地、桌椅復原，且自行運走活動相關物品與廢棄物，並依場地維運</w:t>
            </w:r>
            <w:r>
              <w:rPr>
                <w:spacing w:val="-2"/>
                <w:sz w:val="20"/>
              </w:rPr>
              <w:t>人員當面清點逐項確認檢查。</w:t>
            </w:r>
          </w:p>
          <w:p>
            <w:pPr>
              <w:pStyle w:val="TableParagraph"/>
              <w:spacing w:line="182" w:lineRule="auto"/>
              <w:ind w:right="144" w:hanging="481"/>
              <w:rPr>
                <w:sz w:val="20"/>
              </w:rPr>
            </w:pPr>
            <w:r>
              <w:rPr>
                <w:sz w:val="20"/>
              </w:rPr>
              <w:t>四、 申請單位/申請人使用場地期間，如有發生事故導致人員傷亡、財務損失等，由申請單位/申請人承擔，場地維運</w:t>
            </w:r>
            <w:r>
              <w:rPr>
                <w:spacing w:val="-2"/>
                <w:sz w:val="20"/>
              </w:rPr>
              <w:t>單位不負賠償責任。</w:t>
            </w:r>
          </w:p>
          <w:p>
            <w:pPr>
              <w:pStyle w:val="TableParagraph"/>
              <w:spacing w:line="182" w:lineRule="auto"/>
              <w:ind w:right="112" w:hanging="481"/>
              <w:rPr>
                <w:sz w:val="20"/>
              </w:rPr>
            </w:pPr>
            <w:r>
              <w:rPr>
                <w:w w:val="99"/>
                <w:sz w:val="20"/>
              </w:rPr>
              <w:t>五、</w:t>
            </w:r>
            <w:r>
              <w:rPr>
                <w:spacing w:val="-9"/>
                <w:sz w:val="20"/>
              </w:rPr>
              <w:t>  </w:t>
            </w:r>
            <w:r>
              <w:rPr>
                <w:spacing w:val="-1"/>
                <w:w w:val="99"/>
                <w:sz w:val="20"/>
              </w:rPr>
              <w:t>申請單位/申請人使用期間應負責場地內外秩序、設備、公共安全、交通之維護，並接受維運人員之指導。另需</w:t>
            </w:r>
            <w:r>
              <w:rPr>
                <w:spacing w:val="-2"/>
                <w:w w:val="99"/>
                <w:sz w:val="20"/>
              </w:rPr>
              <w:t>維持現場環境清潔，飲料食物、活動背板、印刷物等垃圾請自行清運。空間使用完畢請自行將環境整理乾淨並回</w:t>
            </w:r>
            <w:r>
              <w:rPr>
                <w:w w:val="99"/>
                <w:sz w:val="20"/>
              </w:rPr>
              <w:t>復原狀，經現場維運人員檢視確認後始得離去。申請單位/申請人如為電競商業活動或中、大型電競賽事，需委託專業清潔公司進行善後清理。</w:t>
            </w:r>
          </w:p>
          <w:p>
            <w:pPr>
              <w:pStyle w:val="TableParagraph"/>
              <w:spacing w:line="264" w:lineRule="exact"/>
              <w:ind w:left="50"/>
              <w:rPr>
                <w:sz w:val="20"/>
              </w:rPr>
            </w:pPr>
            <w:r>
              <w:rPr>
                <w:spacing w:val="-3"/>
                <w:sz w:val="20"/>
              </w:rPr>
              <w:t>六、 活動內容有下列情事之一者，維運單位有權立即停止活動，不得異議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(一) 違背政府政策及法令。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(二) 妨害公共秩序與善良風俗。</w:t>
            </w:r>
          </w:p>
          <w:p>
            <w:pPr>
              <w:pStyle w:val="TableParagraph"/>
              <w:spacing w:line="281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(三) 將場地轉租或轉借予第三人使用。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(四) 與申請時所檢附之使用申請書所載使用事項不符。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(五) 有嚴重損壞場地設備之虞。</w:t>
            </w:r>
          </w:p>
          <w:p>
            <w:pPr>
              <w:pStyle w:val="TableParagraph"/>
              <w:spacing w:line="281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(六) 未經許可，擅自接、改電源線路或擅用電器設備。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(七) 攜帶或使用易燃、爆裂物、菸酒等違禁品。</w:t>
            </w:r>
          </w:p>
          <w:p>
            <w:pPr>
              <w:pStyle w:val="TableParagraph"/>
              <w:spacing w:line="280" w:lineRule="exact"/>
              <w:rPr>
                <w:sz w:val="20"/>
              </w:rPr>
            </w:pPr>
            <w:r>
              <w:rPr>
                <w:spacing w:val="-3"/>
                <w:sz w:val="20"/>
              </w:rPr>
              <w:t>(八) 假借活動名義，從事商業性廣告、促銷、販賣等營利行為。</w:t>
            </w:r>
          </w:p>
          <w:p>
            <w:pPr>
              <w:pStyle w:val="TableParagraph"/>
              <w:spacing w:line="281" w:lineRule="exact"/>
              <w:ind w:left="50"/>
              <w:rPr>
                <w:sz w:val="20"/>
              </w:rPr>
            </w:pPr>
            <w:r>
              <w:rPr>
                <w:spacing w:val="-3"/>
                <w:sz w:val="20"/>
              </w:rPr>
              <w:t>七、 場地不得作任何營利行為，申請單位/申請人所舉辦之活動不得收取入場費及額外費用。</w:t>
            </w:r>
          </w:p>
          <w:p>
            <w:pPr>
              <w:pStyle w:val="TableParagraph"/>
              <w:spacing w:line="182" w:lineRule="auto" w:before="21"/>
              <w:ind w:right="112" w:hanging="481"/>
              <w:rPr>
                <w:sz w:val="20"/>
              </w:rPr>
            </w:pPr>
            <w:r>
              <w:rPr>
                <w:w w:val="99"/>
                <w:sz w:val="20"/>
              </w:rPr>
              <w:t>八、</w:t>
            </w:r>
            <w:r>
              <w:rPr>
                <w:spacing w:val="-9"/>
                <w:sz w:val="20"/>
              </w:rPr>
              <w:t>  </w:t>
            </w:r>
            <w:r>
              <w:rPr>
                <w:w w:val="99"/>
                <w:sz w:val="20"/>
              </w:rPr>
              <w:t>倘電競社團欲辦理例行性活動(如定期電競小型賽事、教學、體驗、交流等)，當年度初次申請借用並提交活動企</w:t>
            </w:r>
            <w:r>
              <w:rPr>
                <w:spacing w:val="-1"/>
                <w:w w:val="99"/>
                <w:sz w:val="20"/>
              </w:rPr>
              <w:t>劃書，經經發局審核符合例行性社團活動者，後續借用場地辦理例行性社團活動免提送企劃書。惟經發局針對活</w:t>
            </w:r>
            <w:r>
              <w:rPr>
                <w:w w:val="99"/>
                <w:sz w:val="20"/>
              </w:rPr>
              <w:t>動內容與實際使用存有疑義時，得請申請單位/申請人補充說明，申請單位/申請人應依經發局使用建議辦理，倘經經發局評估該活動仍存有使用風險或爭議時，經發局得保留最終借用權，並得拒絕借用。申請單位/申請人亦已確認所辦活動與原企劃書所載事項相符。</w:t>
            </w:r>
          </w:p>
          <w:p>
            <w:pPr>
              <w:pStyle w:val="TableParagraph"/>
              <w:spacing w:line="182" w:lineRule="auto" w:before="2"/>
              <w:ind w:right="230" w:hanging="481"/>
              <w:rPr>
                <w:sz w:val="20"/>
              </w:rPr>
            </w:pPr>
            <w:r>
              <w:rPr>
                <w:sz w:val="20"/>
              </w:rPr>
              <w:t>九、 申請單位/申請人使用場地期間，如與新北市政府借用場地時間相同，本場所會以市府為優先使用單位，申請單</w:t>
            </w:r>
            <w:r>
              <w:rPr>
                <w:spacing w:val="-2"/>
                <w:sz w:val="20"/>
              </w:rPr>
              <w:t>位/申請人須配合維運單位作後續調配。</w:t>
            </w:r>
          </w:p>
          <w:p>
            <w:pPr>
              <w:pStyle w:val="TableParagraph"/>
              <w:spacing w:line="182" w:lineRule="auto"/>
              <w:ind w:right="112" w:hanging="481"/>
              <w:rPr>
                <w:sz w:val="20"/>
              </w:rPr>
            </w:pPr>
            <w:r>
              <w:rPr>
                <w:sz w:val="20"/>
              </w:rPr>
              <w:t>十、 申請單位應依各級政府及場地管理單位公告的防疫與公共安全規定，採取必要之健康防護及應變措施，確保活動</w:t>
            </w:r>
            <w:r>
              <w:rPr>
                <w:spacing w:val="-2"/>
                <w:sz w:val="20"/>
              </w:rPr>
              <w:t>參與者之安全與衛生。</w:t>
            </w:r>
          </w:p>
          <w:p>
            <w:pPr>
              <w:pStyle w:val="TableParagraph"/>
              <w:tabs>
                <w:tab w:pos="890" w:val="left" w:leader="none"/>
              </w:tabs>
              <w:spacing w:line="182" w:lineRule="auto" w:before="2"/>
              <w:ind w:right="112" w:hanging="481"/>
              <w:rPr>
                <w:sz w:val="20"/>
              </w:rPr>
            </w:pPr>
            <w:r>
              <w:rPr>
                <w:w w:val="99"/>
                <w:sz w:val="20"/>
              </w:rPr>
              <w:t>十一、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</w:rPr>
              <w:t>申請單</w:t>
            </w:r>
            <w:r>
              <w:rPr>
                <w:spacing w:val="2"/>
                <w:w w:val="99"/>
                <w:sz w:val="20"/>
              </w:rPr>
              <w:t>位</w:t>
            </w:r>
            <w:r>
              <w:rPr>
                <w:w w:val="99"/>
                <w:sz w:val="20"/>
              </w:rPr>
              <w:t>於活</w:t>
            </w:r>
            <w:r>
              <w:rPr>
                <w:spacing w:val="2"/>
                <w:w w:val="99"/>
                <w:sz w:val="20"/>
              </w:rPr>
              <w:t>動</w:t>
            </w:r>
            <w:r>
              <w:rPr>
                <w:w w:val="99"/>
                <w:sz w:val="20"/>
              </w:rPr>
              <w:t>文宣(含</w:t>
            </w:r>
            <w:r>
              <w:rPr>
                <w:spacing w:val="2"/>
                <w:w w:val="99"/>
                <w:sz w:val="20"/>
              </w:rPr>
              <w:t>海</w:t>
            </w:r>
            <w:r>
              <w:rPr>
                <w:w w:val="99"/>
                <w:sz w:val="20"/>
              </w:rPr>
              <w:t>報、網</w:t>
            </w:r>
            <w:r>
              <w:rPr>
                <w:spacing w:val="2"/>
                <w:w w:val="99"/>
                <w:sz w:val="20"/>
              </w:rPr>
              <w:t>站</w:t>
            </w:r>
            <w:r>
              <w:rPr>
                <w:w w:val="99"/>
                <w:sz w:val="20"/>
              </w:rPr>
              <w:t>、社</w:t>
            </w:r>
            <w:r>
              <w:rPr>
                <w:spacing w:val="2"/>
                <w:w w:val="99"/>
                <w:sz w:val="20"/>
              </w:rPr>
              <w:t>群</w:t>
            </w:r>
            <w:r>
              <w:rPr>
                <w:w w:val="99"/>
                <w:sz w:val="20"/>
              </w:rPr>
              <w:t>媒體</w:t>
            </w:r>
            <w:r>
              <w:rPr>
                <w:spacing w:val="2"/>
                <w:w w:val="99"/>
                <w:sz w:val="20"/>
              </w:rPr>
              <w:t>、</w:t>
            </w:r>
            <w:r>
              <w:rPr>
                <w:w w:val="99"/>
                <w:sz w:val="20"/>
              </w:rPr>
              <w:t>電</w:t>
            </w:r>
            <w:r>
              <w:rPr>
                <w:spacing w:val="2"/>
                <w:w w:val="99"/>
                <w:sz w:val="20"/>
              </w:rPr>
              <w:t>子</w:t>
            </w:r>
            <w:r>
              <w:rPr>
                <w:w w:val="99"/>
                <w:sz w:val="20"/>
              </w:rPr>
              <w:t>郵件、</w:t>
            </w:r>
            <w:r>
              <w:rPr>
                <w:spacing w:val="2"/>
                <w:w w:val="99"/>
                <w:sz w:val="20"/>
              </w:rPr>
              <w:t>旗</w:t>
            </w:r>
            <w:r>
              <w:rPr>
                <w:w w:val="99"/>
                <w:sz w:val="20"/>
              </w:rPr>
              <w:t>幟、</w:t>
            </w:r>
            <w:r>
              <w:rPr>
                <w:spacing w:val="2"/>
                <w:w w:val="99"/>
                <w:sz w:val="20"/>
              </w:rPr>
              <w:t>路</w:t>
            </w:r>
            <w:r>
              <w:rPr>
                <w:w w:val="99"/>
                <w:sz w:val="20"/>
              </w:rPr>
              <w:t>燈旗</w:t>
            </w:r>
            <w:r>
              <w:rPr>
                <w:spacing w:val="2"/>
                <w:w w:val="99"/>
                <w:sz w:val="20"/>
              </w:rPr>
              <w:t>、</w:t>
            </w:r>
            <w:r>
              <w:rPr>
                <w:w w:val="99"/>
                <w:sz w:val="20"/>
              </w:rPr>
              <w:t>活</w:t>
            </w:r>
            <w:r>
              <w:rPr>
                <w:spacing w:val="2"/>
                <w:w w:val="99"/>
                <w:sz w:val="20"/>
              </w:rPr>
              <w:t>動</w:t>
            </w:r>
            <w:r>
              <w:rPr>
                <w:w w:val="99"/>
                <w:sz w:val="20"/>
              </w:rPr>
              <w:t>手冊</w:t>
            </w:r>
            <w:r>
              <w:rPr>
                <w:spacing w:val="3"/>
                <w:w w:val="99"/>
                <w:sz w:val="20"/>
              </w:rPr>
              <w:t>等</w:t>
            </w:r>
            <w:r>
              <w:rPr>
                <w:w w:val="99"/>
                <w:sz w:val="20"/>
              </w:rPr>
              <w:t>)中</w:t>
            </w:r>
            <w:r>
              <w:rPr>
                <w:spacing w:val="2"/>
                <w:w w:val="99"/>
                <w:sz w:val="20"/>
              </w:rPr>
              <w:t>，</w:t>
            </w:r>
            <w:r>
              <w:rPr>
                <w:w w:val="99"/>
                <w:sz w:val="20"/>
              </w:rPr>
              <w:t>應正</w:t>
            </w:r>
            <w:r>
              <w:rPr>
                <w:spacing w:val="2"/>
                <w:w w:val="99"/>
                <w:sz w:val="20"/>
              </w:rPr>
              <w:t>確</w:t>
            </w:r>
            <w:r>
              <w:rPr>
                <w:w w:val="99"/>
                <w:sz w:val="20"/>
              </w:rPr>
              <w:t>標示場地提供</w:t>
            </w:r>
            <w:r>
              <w:rPr>
                <w:spacing w:val="2"/>
                <w:w w:val="99"/>
                <w:sz w:val="20"/>
              </w:rPr>
              <w:t>單</w:t>
            </w:r>
            <w:r>
              <w:rPr>
                <w:w w:val="99"/>
                <w:sz w:val="20"/>
              </w:rPr>
              <w:t>位：</w:t>
            </w:r>
            <w:r>
              <w:rPr>
                <w:spacing w:val="2"/>
                <w:w w:val="99"/>
                <w:sz w:val="20"/>
              </w:rPr>
              <w:t>「</w:t>
            </w:r>
            <w:r>
              <w:rPr>
                <w:w w:val="99"/>
                <w:sz w:val="20"/>
              </w:rPr>
              <w:t>新北</w:t>
            </w:r>
            <w:r>
              <w:rPr>
                <w:spacing w:val="2"/>
                <w:w w:val="99"/>
                <w:sz w:val="20"/>
              </w:rPr>
              <w:t>電</w:t>
            </w:r>
            <w:r>
              <w:rPr>
                <w:w w:val="99"/>
                <w:sz w:val="20"/>
              </w:rPr>
              <w:t>競</w:t>
            </w:r>
            <w:r>
              <w:rPr>
                <w:spacing w:val="2"/>
                <w:w w:val="99"/>
                <w:sz w:val="20"/>
              </w:rPr>
              <w:t>基</w:t>
            </w:r>
            <w:r>
              <w:rPr>
                <w:w w:val="99"/>
                <w:sz w:val="20"/>
              </w:rPr>
              <w:t>地」，</w:t>
            </w:r>
            <w:r>
              <w:rPr>
                <w:spacing w:val="2"/>
                <w:w w:val="99"/>
                <w:sz w:val="20"/>
              </w:rPr>
              <w:t>另</w:t>
            </w:r>
            <w:r>
              <w:rPr>
                <w:w w:val="99"/>
                <w:sz w:val="20"/>
              </w:rPr>
              <w:t>非經</w:t>
            </w:r>
            <w:r>
              <w:rPr>
                <w:spacing w:val="2"/>
                <w:w w:val="99"/>
                <w:sz w:val="20"/>
              </w:rPr>
              <w:t>維</w:t>
            </w:r>
            <w:r>
              <w:rPr>
                <w:w w:val="99"/>
                <w:sz w:val="20"/>
              </w:rPr>
              <w:t>運單</w:t>
            </w:r>
            <w:r>
              <w:rPr>
                <w:spacing w:val="2"/>
                <w:w w:val="99"/>
                <w:sz w:val="20"/>
              </w:rPr>
              <w:t>位</w:t>
            </w:r>
            <w:r>
              <w:rPr>
                <w:w w:val="99"/>
                <w:sz w:val="20"/>
              </w:rPr>
              <w:t>及</w:t>
            </w:r>
            <w:r>
              <w:rPr>
                <w:spacing w:val="2"/>
                <w:w w:val="99"/>
                <w:sz w:val="20"/>
              </w:rPr>
              <w:t>經</w:t>
            </w:r>
            <w:r>
              <w:rPr>
                <w:w w:val="99"/>
                <w:sz w:val="20"/>
              </w:rPr>
              <w:t>發局同</w:t>
            </w:r>
            <w:r>
              <w:rPr>
                <w:spacing w:val="2"/>
                <w:w w:val="99"/>
                <w:sz w:val="20"/>
              </w:rPr>
              <w:t>意</w:t>
            </w:r>
            <w:r>
              <w:rPr>
                <w:w w:val="99"/>
                <w:sz w:val="20"/>
              </w:rPr>
              <w:t>，不</w:t>
            </w:r>
            <w:r>
              <w:rPr>
                <w:spacing w:val="2"/>
                <w:w w:val="99"/>
                <w:sz w:val="20"/>
              </w:rPr>
              <w:t>得</w:t>
            </w:r>
            <w:r>
              <w:rPr>
                <w:w w:val="99"/>
                <w:sz w:val="20"/>
              </w:rPr>
              <w:t>將本</w:t>
            </w:r>
            <w:r>
              <w:rPr>
                <w:spacing w:val="2"/>
                <w:w w:val="99"/>
                <w:sz w:val="20"/>
              </w:rPr>
              <w:t>基</w:t>
            </w:r>
            <w:r>
              <w:rPr>
                <w:w w:val="99"/>
                <w:sz w:val="20"/>
              </w:rPr>
              <w:t>地</w:t>
            </w:r>
            <w:r>
              <w:rPr>
                <w:spacing w:val="2"/>
                <w:w w:val="99"/>
                <w:sz w:val="20"/>
              </w:rPr>
              <w:t>標</w:t>
            </w:r>
            <w:r>
              <w:rPr>
                <w:w w:val="99"/>
                <w:sz w:val="20"/>
              </w:rPr>
              <w:t>示為主</w:t>
            </w:r>
            <w:r>
              <w:rPr>
                <w:spacing w:val="2"/>
                <w:w w:val="99"/>
                <w:sz w:val="20"/>
              </w:rPr>
              <w:t>辦</w:t>
            </w:r>
            <w:r>
              <w:rPr>
                <w:w w:val="99"/>
                <w:sz w:val="20"/>
              </w:rPr>
              <w:t>、協</w:t>
            </w:r>
            <w:r>
              <w:rPr>
                <w:spacing w:val="2"/>
                <w:w w:val="99"/>
                <w:sz w:val="20"/>
              </w:rPr>
              <w:t>辦</w:t>
            </w:r>
            <w:r>
              <w:rPr>
                <w:w w:val="99"/>
                <w:sz w:val="20"/>
              </w:rPr>
              <w:t>或合</w:t>
            </w:r>
            <w:r>
              <w:rPr>
                <w:spacing w:val="2"/>
                <w:w w:val="99"/>
                <w:sz w:val="20"/>
              </w:rPr>
              <w:t>作</w:t>
            </w:r>
            <w:r>
              <w:rPr>
                <w:w w:val="99"/>
                <w:sz w:val="20"/>
              </w:rPr>
              <w:t>單</w:t>
            </w:r>
            <w:r>
              <w:rPr>
                <w:spacing w:val="2"/>
                <w:w w:val="99"/>
                <w:sz w:val="20"/>
              </w:rPr>
              <w:t>位</w:t>
            </w:r>
            <w:r>
              <w:rPr>
                <w:spacing w:val="-14"/>
                <w:w w:val="99"/>
                <w:sz w:val="20"/>
              </w:rPr>
              <w:t>。</w:t>
            </w:r>
          </w:p>
          <w:p>
            <w:pPr>
              <w:pStyle w:val="TableParagraph"/>
              <w:tabs>
                <w:tab w:pos="890" w:val="left" w:leader="none"/>
              </w:tabs>
              <w:spacing w:line="182" w:lineRule="auto" w:before="1"/>
              <w:ind w:right="112" w:hanging="481"/>
              <w:rPr>
                <w:sz w:val="20"/>
              </w:rPr>
            </w:pPr>
            <w:r>
              <w:rPr>
                <w:spacing w:val="-4"/>
                <w:sz w:val="20"/>
              </w:rPr>
              <w:t>十二、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新北電競基地為新北市政府推動電競人才育成的重要基地。場地借用期間，申請單位應配合基地維運單位進行拍照、錄影或其他活動紀錄作業，相關素材得作為教育推廣及成果宣傳使用；若課程實作規劃，申請單位亦</w:t>
            </w:r>
            <w:r>
              <w:rPr>
                <w:spacing w:val="-12"/>
                <w:sz w:val="20"/>
              </w:rPr>
              <w:t>應</w:t>
            </w:r>
          </w:p>
          <w:p>
            <w:pPr>
              <w:pStyle w:val="TableParagraph"/>
              <w:tabs>
                <w:tab w:pos="530" w:val="left" w:leader="none"/>
                <w:tab w:pos="10401" w:val="left" w:leader="none"/>
              </w:tabs>
              <w:spacing w:line="233" w:lineRule="exact"/>
              <w:ind w:left="35"/>
              <w:rPr>
                <w:sz w:val="20"/>
              </w:rPr>
            </w:pP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spacing w:val="-2"/>
                <w:sz w:val="20"/>
                <w:u w:val="single"/>
              </w:rPr>
              <w:t>配合提供或授權使用</w:t>
            </w:r>
            <w:r>
              <w:rPr>
                <w:spacing w:val="-10"/>
                <w:sz w:val="20"/>
                <w:u w:val="single"/>
              </w:rPr>
              <w:t>。</w:t>
            </w:r>
            <w:r>
              <w:rPr>
                <w:sz w:val="20"/>
                <w:u w:val="single"/>
              </w:rPr>
              <w:tab/>
            </w:r>
          </w:p>
        </w:tc>
      </w:tr>
    </w:tbl>
    <w:p>
      <w:pPr>
        <w:tabs>
          <w:tab w:pos="6025" w:val="left" w:leader="none"/>
          <w:tab w:pos="6745" w:val="left" w:leader="none"/>
        </w:tabs>
        <w:spacing w:before="6"/>
        <w:ind w:left="427" w:right="0" w:firstLine="0"/>
        <w:jc w:val="left"/>
        <w:rPr>
          <w:sz w:val="24"/>
        </w:rPr>
      </w:pPr>
      <w:r>
        <w:rPr>
          <w:sz w:val="24"/>
        </w:rPr>
        <w:t>立切結書</w:t>
      </w:r>
      <w:r>
        <w:rPr>
          <w:spacing w:val="-10"/>
          <w:sz w:val="24"/>
        </w:rPr>
        <w:t>人</w:t>
      </w:r>
      <w:r>
        <w:rPr>
          <w:sz w:val="24"/>
        </w:rPr>
        <w:tab/>
        <w:t>此</w:t>
      </w:r>
      <w:r>
        <w:rPr>
          <w:spacing w:val="-10"/>
          <w:sz w:val="24"/>
        </w:rPr>
        <w:t>致</w:t>
      </w:r>
      <w:r>
        <w:rPr>
          <w:sz w:val="24"/>
        </w:rPr>
        <w:tab/>
        <w:t>維運單位：三立電視股份有限公</w:t>
      </w:r>
      <w:r>
        <w:rPr>
          <w:spacing w:val="-10"/>
          <w:sz w:val="24"/>
        </w:rPr>
        <w:t>司</w:t>
      </w:r>
    </w:p>
    <w:p>
      <w:pPr>
        <w:pStyle w:val="BodyText"/>
        <w:spacing w:before="18"/>
        <w:rPr>
          <w:sz w:val="5"/>
        </w:rPr>
      </w:pPr>
    </w:p>
    <w:tbl>
      <w:tblPr>
        <w:tblW w:w="0" w:type="auto"/>
        <w:jc w:val="left"/>
        <w:tblInd w:w="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54"/>
        <w:gridCol w:w="2290"/>
        <w:gridCol w:w="3028"/>
        <w:gridCol w:w="1879"/>
      </w:tblGrid>
      <w:tr>
        <w:trPr>
          <w:trHeight w:val="360" w:hRule="atLeast"/>
        </w:trPr>
        <w:tc>
          <w:tcPr>
            <w:tcW w:w="9951" w:type="dxa"/>
            <w:gridSpan w:val="4"/>
          </w:tcPr>
          <w:p>
            <w:pPr>
              <w:pStyle w:val="TableParagraph"/>
              <w:tabs>
                <w:tab w:pos="3775" w:val="left" w:leader="none"/>
              </w:tabs>
              <w:spacing w:line="340" w:lineRule="exact"/>
              <w:ind w:left="50"/>
              <w:rPr>
                <w:sz w:val="24"/>
              </w:rPr>
            </w:pPr>
            <w:r>
              <w:rPr>
                <w:spacing w:val="12"/>
                <w:sz w:val="24"/>
              </w:rPr>
              <w:t>單</w:t>
            </w:r>
            <w:r>
              <w:rPr>
                <w:sz w:val="24"/>
              </w:rPr>
              <w:t> 位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12"/>
                <w:sz w:val="24"/>
              </w:rPr>
              <w:t> 人</w:t>
            </w:r>
            <w:r>
              <w:rPr>
                <w:sz w:val="24"/>
              </w:rPr>
              <w:t> 名</w:t>
            </w:r>
            <w:r>
              <w:rPr>
                <w:spacing w:val="11"/>
                <w:sz w:val="24"/>
              </w:rPr>
              <w:t> </w:t>
            </w:r>
            <w:r>
              <w:rPr>
                <w:spacing w:val="24"/>
                <w:sz w:val="24"/>
              </w:rPr>
              <w:t>稱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(請蓋大印</w:t>
            </w:r>
            <w:r>
              <w:rPr>
                <w:spacing w:val="-10"/>
                <w:sz w:val="24"/>
              </w:rPr>
              <w:t>)</w:t>
            </w:r>
          </w:p>
        </w:tc>
      </w:tr>
      <w:tr>
        <w:trPr>
          <w:trHeight w:val="399" w:hRule="atLeast"/>
        </w:trPr>
        <w:tc>
          <w:tcPr>
            <w:tcW w:w="2754" w:type="dxa"/>
          </w:tcPr>
          <w:p>
            <w:pPr>
              <w:pStyle w:val="TableParagraph"/>
              <w:tabs>
                <w:tab w:pos="1010" w:val="left" w:leader="none"/>
              </w:tabs>
              <w:spacing w:line="380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  <w:t>址</w:t>
            </w:r>
            <w:r>
              <w:rPr>
                <w:spacing w:val="-10"/>
                <w:sz w:val="24"/>
              </w:rPr>
              <w:t>：</w:t>
            </w:r>
          </w:p>
        </w:tc>
        <w:tc>
          <w:tcPr>
            <w:tcW w:w="229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7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99" w:hRule="atLeast"/>
        </w:trPr>
        <w:tc>
          <w:tcPr>
            <w:tcW w:w="2754" w:type="dxa"/>
          </w:tcPr>
          <w:p>
            <w:pPr>
              <w:pStyle w:val="TableParagraph"/>
              <w:tabs>
                <w:tab w:pos="1010" w:val="left" w:leader="none"/>
              </w:tabs>
              <w:spacing w:line="380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  <w:tc>
          <w:tcPr>
            <w:tcW w:w="229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28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7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60" w:hRule="atLeast"/>
        </w:trPr>
        <w:tc>
          <w:tcPr>
            <w:tcW w:w="2754" w:type="dxa"/>
          </w:tcPr>
          <w:p>
            <w:pPr>
              <w:pStyle w:val="TableParagraph"/>
              <w:tabs>
                <w:tab w:pos="2303" w:val="left" w:leader="none"/>
                <w:tab w:pos="4018" w:val="left" w:leader="none"/>
              </w:tabs>
              <w:spacing w:line="340" w:lineRule="exact"/>
              <w:ind w:left="50" w:right="-1268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單位負責人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</w:tc>
        <w:tc>
          <w:tcPr>
            <w:tcW w:w="2290" w:type="dxa"/>
          </w:tcPr>
          <w:p>
            <w:pPr>
              <w:pStyle w:val="TableParagraph"/>
              <w:spacing w:line="340" w:lineRule="exact"/>
              <w:ind w:left="1264"/>
              <w:rPr>
                <w:sz w:val="24"/>
              </w:rPr>
            </w:pPr>
            <w:r>
              <w:rPr>
                <w:spacing w:val="-4"/>
                <w:sz w:val="24"/>
              </w:rPr>
              <w:t>(簽名)</w:t>
            </w:r>
          </w:p>
        </w:tc>
        <w:tc>
          <w:tcPr>
            <w:tcW w:w="3028" w:type="dxa"/>
          </w:tcPr>
          <w:p>
            <w:pPr>
              <w:pStyle w:val="TableParagraph"/>
              <w:tabs>
                <w:tab w:pos="2080" w:val="left" w:leader="none"/>
                <w:tab w:pos="4223" w:val="left" w:leader="none"/>
              </w:tabs>
              <w:spacing w:line="340" w:lineRule="exact"/>
              <w:ind w:left="392" w:right="-1210"/>
              <w:rPr>
                <w:sz w:val="24"/>
              </w:rPr>
            </w:pPr>
            <w:r>
              <w:rPr>
                <w:sz w:val="24"/>
              </w:rPr>
              <w:t>活動負責人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879" w:type="dxa"/>
          </w:tcPr>
          <w:p>
            <w:pPr>
              <w:pStyle w:val="TableParagraph"/>
              <w:spacing w:line="340" w:lineRule="exact"/>
              <w:ind w:left="1195"/>
              <w:rPr>
                <w:sz w:val="24"/>
              </w:rPr>
            </w:pPr>
            <w:r>
              <w:rPr>
                <w:spacing w:val="-4"/>
                <w:sz w:val="24"/>
              </w:rPr>
              <w:t>(簽名)</w:t>
            </w:r>
          </w:p>
        </w:tc>
      </w:tr>
    </w:tbl>
    <w:sectPr>
      <w:footerReference w:type="default" r:id="rId5"/>
      <w:type w:val="continuous"/>
      <w:pgSz w:w="11910" w:h="16840"/>
      <w:pgMar w:header="0" w:footer="1109" w:top="540" w:bottom="1300" w:left="708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Microsoft JhengHei">
    <w:altName w:val="Microsoft JhengHei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528319</wp:posOffset>
              </wp:positionH>
              <wp:positionV relativeFrom="page">
                <wp:posOffset>9848691</wp:posOffset>
              </wp:positionV>
              <wp:extent cx="2622550" cy="16129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622550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54" w:lineRule="exact"/>
                            <w:ind w:left="20"/>
                          </w:pPr>
                          <w:r>
                            <w:rPr/>
                            <w:t>115年度新北電競基地活動場地使用切結書(114年11</w:t>
                          </w:r>
                          <w:r>
                            <w:rPr>
                              <w:spacing w:val="-4"/>
                            </w:rPr>
                            <w:t>月版)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1.599998pt;margin-top:775.487488pt;width:206.5pt;height:12.7pt;mso-position-horizontal-relative:page;mso-position-vertical-relative:page;z-index:-1578803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54" w:lineRule="exact"/>
                      <w:ind w:left="20"/>
                    </w:pPr>
                    <w:r>
                      <w:rPr/>
                      <w:t>115年度新北電競基地活動場地使用切結書(114年11</w:t>
                    </w:r>
                    <w:r>
                      <w:rPr>
                        <w:spacing w:val="-4"/>
                      </w:rPr>
                      <w:t>月版)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8960">
              <wp:simplePos x="0" y="0"/>
              <wp:positionH relativeFrom="page">
                <wp:posOffset>5619750</wp:posOffset>
              </wp:positionH>
              <wp:positionV relativeFrom="page">
                <wp:posOffset>9848691</wp:posOffset>
              </wp:positionV>
              <wp:extent cx="1272540" cy="16129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272540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54" w:lineRule="exact"/>
                            <w:ind w:left="20"/>
                          </w:pPr>
                          <w:r>
                            <w:rPr>
                              <w:spacing w:val="1"/>
                            </w:rPr>
                            <w:t>三立電視股份有限公司維運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42.5pt;margin-top:775.487488pt;width:100.2pt;height:12.7pt;mso-position-horizontal-relative:page;mso-position-vertical-relative:page;z-index:-1578752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54" w:lineRule="exact"/>
                      <w:ind w:left="20"/>
                    </w:pPr>
                    <w:r>
                      <w:rPr>
                        <w:spacing w:val="1"/>
                      </w:rPr>
                      <w:t>三立電視股份有限公司維運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3736975</wp:posOffset>
              </wp:positionH>
              <wp:positionV relativeFrom="page">
                <wp:posOffset>10217225</wp:posOffset>
              </wp:positionV>
              <wp:extent cx="89535" cy="1524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9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25pt;margin-top:804.505981pt;width:7.05pt;height:12pt;mso-position-horizontal-relative:page;mso-position-vertical-relative:page;z-index:-15787008" type="#_x0000_t202" id="docshape3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JhengHei" w:hAnsi="Microsoft JhengHei" w:eastAsia="Microsoft JhengHei" w:cs="Microsoft JhengHei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Microsoft JhengHei" w:hAnsi="Microsoft JhengHei" w:eastAsia="Microsoft JhengHei" w:cs="Microsoft JhengHei"/>
      <w:sz w:val="16"/>
      <w:szCs w:val="16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line="565" w:lineRule="exact"/>
      <w:ind w:right="142"/>
      <w:jc w:val="center"/>
    </w:pPr>
    <w:rPr>
      <w:rFonts w:ascii="Microsoft JhengHei" w:hAnsi="Microsoft JhengHei" w:eastAsia="Microsoft JhengHei" w:cs="Microsoft JhengHei"/>
      <w:b/>
      <w:bCs/>
      <w:sz w:val="32"/>
      <w:szCs w:val="32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>
      <w:ind w:left="530"/>
    </w:pPr>
    <w:rPr>
      <w:rFonts w:ascii="Microsoft JhengHei" w:hAnsi="Microsoft JhengHei" w:eastAsia="Microsoft JhengHei" w:cs="Microsoft JhengHei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SETN</dc:creator>
  <dcterms:created xsi:type="dcterms:W3CDTF">2025-12-24T10:39:05Z</dcterms:created>
  <dcterms:modified xsi:type="dcterms:W3CDTF">2025-12-24T10:39:05Z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2025-12-24T00:00:00Z</vt:filetime>
  </property>
  <property fmtid="{D5CDD505-2E9C-101B-9397-08002B2CF9AE}" pid="5" name="Producer">
    <vt:lpwstr>Microsoft® Word 2019</vt:lpwstr>
  </property>
</Properties>
</file>