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820" w:rsidRDefault="00F71820" w:rsidP="00467529">
      <w:pPr>
        <w:spacing w:afterLines="100" w:after="360" w:line="480" w:lineRule="exact"/>
        <w:ind w:firstLineChars="200" w:firstLine="721"/>
        <w:jc w:val="center"/>
        <w:rPr>
          <w:rFonts w:ascii="標楷體" w:eastAsia="標楷體" w:hAnsi="標楷體"/>
          <w:b/>
          <w:sz w:val="40"/>
        </w:rPr>
      </w:pPr>
      <w:r w:rsidRPr="00467529">
        <w:rPr>
          <w:rFonts w:ascii="標楷體" w:eastAsia="標楷體" w:hAnsi="標楷體" w:hint="eastAsia"/>
          <w:b/>
          <w:sz w:val="36"/>
        </w:rPr>
        <w:t>認識多元性別</w:t>
      </w:r>
    </w:p>
    <w:p w:rsidR="00467529" w:rsidRPr="00467529" w:rsidRDefault="00467529" w:rsidP="00467529">
      <w:pPr>
        <w:spacing w:afterLines="100" w:after="360" w:line="480" w:lineRule="exact"/>
        <w:ind w:firstLineChars="200" w:firstLine="480"/>
        <w:jc w:val="right"/>
        <w:rPr>
          <w:rFonts w:ascii="標楷體" w:eastAsia="標楷體" w:hAnsi="標楷體" w:hint="eastAsia"/>
          <w:b/>
          <w:sz w:val="20"/>
        </w:rPr>
      </w:pPr>
      <w:r w:rsidRPr="00467529">
        <w:rPr>
          <w:rFonts w:ascii="標楷體" w:eastAsia="標楷體" w:hAnsi="標楷體" w:hint="eastAsia"/>
          <w:b/>
        </w:rPr>
        <w:t>經發局會計室</w:t>
      </w:r>
    </w:p>
    <w:p w:rsidR="00C82D64" w:rsidRDefault="00F71820" w:rsidP="00FB1C28">
      <w:pPr>
        <w:spacing w:line="520" w:lineRule="exact"/>
        <w:ind w:firstLineChars="200" w:firstLine="560"/>
        <w:rPr>
          <w:rFonts w:ascii="標楷體" w:eastAsia="標楷體" w:hAnsi="標楷體"/>
          <w:sz w:val="28"/>
        </w:rPr>
      </w:pPr>
      <w:r w:rsidRPr="00FB1C28">
        <w:rPr>
          <w:rFonts w:ascii="標楷體" w:eastAsia="標楷體" w:hAnsi="標楷體" w:hint="eastAsia"/>
          <w:sz w:val="28"/>
        </w:rPr>
        <w:t>根據目前《性別平等教育法部分條文修正草案》，「多元性別」的定義是：「指任何人之生理性別、性別特徵、性別特質、性傾向、性別認同及性別變更等差異情形」，由此定義看來，所稱「多元性別」應是指「</w:t>
      </w:r>
      <w:r w:rsidRPr="00FB1C28">
        <w:rPr>
          <w:rFonts w:ascii="標楷體" w:eastAsia="標楷體" w:hAnsi="標楷體"/>
          <w:sz w:val="28"/>
        </w:rPr>
        <w:t>LGBTQ</w:t>
      </w:r>
      <w:r w:rsidRPr="00FB1C28">
        <w:rPr>
          <w:rFonts w:ascii="標楷體" w:eastAsia="標楷體" w:hAnsi="標楷體" w:hint="eastAsia"/>
          <w:sz w:val="28"/>
        </w:rPr>
        <w:t>」，亦即包括女同性戀、男同性戀、雙性戀、跨性別（</w:t>
      </w:r>
      <w:r w:rsidRPr="00FB1C28">
        <w:rPr>
          <w:rFonts w:ascii="標楷體" w:eastAsia="標楷體" w:hAnsi="標楷體"/>
          <w:sz w:val="28"/>
        </w:rPr>
        <w:t>Transgender</w:t>
      </w:r>
      <w:r w:rsidRPr="00FB1C28">
        <w:rPr>
          <w:rFonts w:ascii="標楷體" w:eastAsia="標楷體" w:hAnsi="標楷體" w:hint="eastAsia"/>
          <w:sz w:val="28"/>
        </w:rPr>
        <w:t>），以及酷兒（</w:t>
      </w:r>
      <w:r w:rsidRPr="00FB1C28">
        <w:rPr>
          <w:rFonts w:ascii="標楷體" w:eastAsia="標楷體" w:hAnsi="標楷體"/>
          <w:sz w:val="28"/>
        </w:rPr>
        <w:t>Queer</w:t>
      </w:r>
      <w:r w:rsidRPr="00FB1C28">
        <w:rPr>
          <w:rFonts w:ascii="標楷體" w:eastAsia="標楷體" w:hAnsi="標楷體" w:hint="eastAsia"/>
          <w:sz w:val="28"/>
        </w:rPr>
        <w:t>）。但國際間與學術上對其中部分名詞的意涵仍存在爭議，以「跨性別」為例，有人認為是指「男跨女」或「女跨男」，但有些將跨性別視為一個大傘，取中間位置者</w:t>
      </w:r>
      <w:r w:rsidRPr="00FB1C28">
        <w:rPr>
          <w:rFonts w:ascii="標楷體" w:eastAsia="標楷體" w:hAnsi="標楷體"/>
          <w:sz w:val="28"/>
        </w:rPr>
        <w:t>(</w:t>
      </w:r>
      <w:r w:rsidRPr="00FB1C28">
        <w:rPr>
          <w:rFonts w:ascii="標楷體" w:eastAsia="標楷體" w:hAnsi="標楷體" w:hint="eastAsia"/>
          <w:sz w:val="28"/>
        </w:rPr>
        <w:t>不像男也不像女</w:t>
      </w:r>
      <w:r w:rsidRPr="00FB1C28">
        <w:rPr>
          <w:rFonts w:ascii="標楷體" w:eastAsia="標楷體" w:hAnsi="標楷體"/>
          <w:sz w:val="28"/>
        </w:rPr>
        <w:t>)</w:t>
      </w:r>
      <w:r w:rsidRPr="00FB1C28">
        <w:rPr>
          <w:rFonts w:ascii="標楷體" w:eastAsia="標楷體" w:hAnsi="標楷體" w:hint="eastAsia"/>
          <w:sz w:val="28"/>
        </w:rPr>
        <w:t>或男女均會表現者都稱為「跨性別」。</w:t>
      </w:r>
    </w:p>
    <w:p w:rsidR="00964C9B" w:rsidRDefault="004A322A" w:rsidP="00964C9B">
      <w:pPr>
        <w:spacing w:line="520" w:lineRule="exact"/>
        <w:ind w:firstLineChars="200" w:firstLine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現今</w:t>
      </w:r>
      <w:r w:rsidR="003B7214" w:rsidRPr="003B7214">
        <w:rPr>
          <w:rFonts w:ascii="標楷體" w:eastAsia="標楷體" w:hAnsi="標楷體" w:hint="eastAsia"/>
          <w:sz w:val="28"/>
        </w:rPr>
        <w:t>臺灣同性婚姻</w:t>
      </w:r>
      <w:r>
        <w:rPr>
          <w:rFonts w:ascii="標楷體" w:eastAsia="標楷體" w:hAnsi="標楷體" w:hint="eastAsia"/>
          <w:sz w:val="28"/>
        </w:rPr>
        <w:t>已</w:t>
      </w:r>
      <w:r w:rsidR="003B7214">
        <w:rPr>
          <w:rFonts w:ascii="標楷體" w:eastAsia="標楷體" w:hAnsi="標楷體" w:hint="eastAsia"/>
          <w:sz w:val="28"/>
        </w:rPr>
        <w:t>於108</w:t>
      </w:r>
      <w:r w:rsidR="003B7214" w:rsidRPr="003B7214">
        <w:rPr>
          <w:rFonts w:ascii="標楷體" w:eastAsia="標楷體" w:hAnsi="標楷體" w:hint="eastAsia"/>
          <w:sz w:val="28"/>
        </w:rPr>
        <w:t>年5月17日，《司法院釋字第七四八號解釋施行法》三讀通過，同年5月22日經總統蔡英文公布，並於同年5月24日生效</w:t>
      </w:r>
      <w:r>
        <w:rPr>
          <w:rFonts w:ascii="標楷體" w:eastAsia="標楷體" w:hAnsi="標楷體" w:hint="eastAsia"/>
          <w:sz w:val="28"/>
        </w:rPr>
        <w:t>。本(108)年</w:t>
      </w:r>
      <w:r w:rsidR="00C702D8">
        <w:rPr>
          <w:rFonts w:ascii="標楷體" w:eastAsia="標楷體" w:hAnsi="標楷體" w:hint="eastAsia"/>
          <w:sz w:val="28"/>
        </w:rPr>
        <w:t>全國結婚對數為13萬4</w:t>
      </w:r>
      <w:r w:rsidR="00C702D8">
        <w:rPr>
          <w:rFonts w:ascii="標楷體" w:eastAsia="標楷體" w:hAnsi="標楷體"/>
          <w:sz w:val="28"/>
        </w:rPr>
        <w:t>,</w:t>
      </w:r>
      <w:r w:rsidR="00C702D8">
        <w:rPr>
          <w:rFonts w:ascii="標楷體" w:eastAsia="標楷體" w:hAnsi="標楷體" w:hint="eastAsia"/>
          <w:sz w:val="28"/>
        </w:rPr>
        <w:t>524對，不同性別為</w:t>
      </w:r>
      <w:r w:rsidR="00C702D8" w:rsidRPr="00C702D8">
        <w:rPr>
          <w:rFonts w:ascii="標楷體" w:eastAsia="標楷體" w:hAnsi="標楷體"/>
          <w:sz w:val="28"/>
        </w:rPr>
        <w:t>13</w:t>
      </w:r>
      <w:r w:rsidR="00C702D8">
        <w:rPr>
          <w:rFonts w:ascii="標楷體" w:eastAsia="標楷體" w:hAnsi="標楷體" w:hint="eastAsia"/>
          <w:sz w:val="28"/>
        </w:rPr>
        <w:t>萬</w:t>
      </w:r>
      <w:r w:rsidR="00C702D8" w:rsidRPr="00C702D8">
        <w:rPr>
          <w:rFonts w:ascii="標楷體" w:eastAsia="標楷體" w:hAnsi="標楷體"/>
          <w:sz w:val="28"/>
        </w:rPr>
        <w:t>1</w:t>
      </w:r>
      <w:r w:rsidR="00C702D8">
        <w:rPr>
          <w:rFonts w:ascii="標楷體" w:eastAsia="標楷體" w:hAnsi="標楷體"/>
          <w:sz w:val="28"/>
        </w:rPr>
        <w:t>,</w:t>
      </w:r>
      <w:r w:rsidR="00C702D8" w:rsidRPr="00C702D8">
        <w:rPr>
          <w:rFonts w:ascii="標楷體" w:eastAsia="標楷體" w:hAnsi="標楷體"/>
          <w:sz w:val="28"/>
        </w:rPr>
        <w:t>585</w:t>
      </w:r>
      <w:r w:rsidR="00C702D8">
        <w:rPr>
          <w:rFonts w:ascii="標楷體" w:eastAsia="標楷體" w:hAnsi="標楷體" w:hint="eastAsia"/>
          <w:sz w:val="28"/>
        </w:rPr>
        <w:t>對，相同性別為2</w:t>
      </w:r>
      <w:r w:rsidR="00C702D8">
        <w:rPr>
          <w:rFonts w:ascii="標楷體" w:eastAsia="標楷體" w:hAnsi="標楷體"/>
          <w:sz w:val="28"/>
        </w:rPr>
        <w:t>,</w:t>
      </w:r>
      <w:r w:rsidR="00C702D8">
        <w:rPr>
          <w:rFonts w:ascii="標楷體" w:eastAsia="標楷體" w:hAnsi="標楷體" w:hint="eastAsia"/>
          <w:sz w:val="28"/>
        </w:rPr>
        <w:t>939對。從六都不同性別結婚對數中，</w:t>
      </w:r>
      <w:r w:rsidR="00964C9B">
        <w:rPr>
          <w:rFonts w:ascii="標楷體" w:eastAsia="標楷體" w:hAnsi="標楷體" w:hint="eastAsia"/>
          <w:sz w:val="28"/>
        </w:rPr>
        <w:t>以新北市2萬3</w:t>
      </w:r>
      <w:r w:rsidR="00964C9B">
        <w:rPr>
          <w:rFonts w:ascii="標楷體" w:eastAsia="標楷體" w:hAnsi="標楷體"/>
          <w:sz w:val="28"/>
        </w:rPr>
        <w:t>,</w:t>
      </w:r>
      <w:r w:rsidR="00964C9B">
        <w:rPr>
          <w:rFonts w:ascii="標楷體" w:eastAsia="標楷體" w:hAnsi="標楷體" w:hint="eastAsia"/>
          <w:sz w:val="28"/>
        </w:rPr>
        <w:t>448對為六都中第一，同時亦為全國第一；相同性別結婚對數中，以新北市614對為六都中第一，同時亦為全國第一，其中男男結婚為214對，女女結婚為400對。</w:t>
      </w:r>
    </w:p>
    <w:p w:rsidR="00C702D8" w:rsidRDefault="00467529" w:rsidP="00C702D8">
      <w:pPr>
        <w:spacing w:beforeLines="50" w:before="180" w:afterLines="50" w:after="180" w:line="520" w:lineRule="exact"/>
        <w:ind w:firstLineChars="200" w:firstLine="480"/>
        <w:jc w:val="center"/>
        <w:rPr>
          <w:rFonts w:ascii="標楷體" w:eastAsia="標楷體" w:hAnsi="標楷體"/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D3AC417" wp14:editId="5699BAF9">
            <wp:simplePos x="0" y="0"/>
            <wp:positionH relativeFrom="margin">
              <wp:posOffset>528329</wp:posOffset>
            </wp:positionH>
            <wp:positionV relativeFrom="paragraph">
              <wp:posOffset>484240</wp:posOffset>
            </wp:positionV>
            <wp:extent cx="4592320" cy="2538095"/>
            <wp:effectExtent l="0" t="0" r="0" b="0"/>
            <wp:wrapTopAndBottom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02D8">
        <w:rPr>
          <w:rFonts w:ascii="標楷體" w:eastAsia="標楷體" w:hAnsi="標楷體" w:hint="eastAsia"/>
          <w:sz w:val="28"/>
        </w:rPr>
        <w:t xml:space="preserve">圖1 </w:t>
      </w:r>
      <w:r w:rsidR="00964C9B">
        <w:rPr>
          <w:rFonts w:ascii="標楷體" w:eastAsia="標楷體" w:hAnsi="標楷體" w:hint="eastAsia"/>
          <w:sz w:val="28"/>
        </w:rPr>
        <w:t>108年累計</w:t>
      </w:r>
      <w:r w:rsidR="00C702D8">
        <w:rPr>
          <w:rFonts w:ascii="標楷體" w:eastAsia="標楷體" w:hAnsi="標楷體" w:hint="eastAsia"/>
          <w:sz w:val="28"/>
        </w:rPr>
        <w:t>不同性別-結婚對數</w:t>
      </w:r>
    </w:p>
    <w:p w:rsidR="00467529" w:rsidRPr="00467529" w:rsidRDefault="00467529" w:rsidP="00C702D8">
      <w:pPr>
        <w:spacing w:beforeLines="50" w:before="180" w:afterLines="50" w:after="180" w:line="520" w:lineRule="exact"/>
        <w:ind w:firstLineChars="200" w:firstLine="480"/>
        <w:jc w:val="center"/>
        <w:rPr>
          <w:rFonts w:ascii="標楷體" w:eastAsia="標楷體" w:hAnsi="標楷體"/>
          <w:sz w:val="28"/>
        </w:rPr>
      </w:pPr>
      <w:r w:rsidRPr="00467529">
        <w:rPr>
          <w:rFonts w:ascii="標楷體" w:eastAsia="標楷體" w:hAnsi="標楷體" w:hint="eastAsia"/>
        </w:rPr>
        <w:t>資料來源:行政院性別平等處</w:t>
      </w:r>
    </w:p>
    <w:p w:rsidR="00C702D8" w:rsidRDefault="00467529" w:rsidP="00C702D8">
      <w:pPr>
        <w:spacing w:beforeLines="50" w:before="180" w:afterLines="50" w:after="180" w:line="520" w:lineRule="exact"/>
        <w:ind w:firstLineChars="200" w:firstLine="480"/>
        <w:jc w:val="center"/>
        <w:rPr>
          <w:rFonts w:ascii="標楷體" w:eastAsia="標楷體" w:hAnsi="標楷體"/>
          <w:sz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C62C2F8" wp14:editId="69782CA8">
            <wp:simplePos x="0" y="0"/>
            <wp:positionH relativeFrom="margin">
              <wp:posOffset>569595</wp:posOffset>
            </wp:positionH>
            <wp:positionV relativeFrom="paragraph">
              <wp:posOffset>477520</wp:posOffset>
            </wp:positionV>
            <wp:extent cx="4483100" cy="2190115"/>
            <wp:effectExtent l="0" t="0" r="0" b="0"/>
            <wp:wrapTopAndBottom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C9B">
        <w:rPr>
          <w:rFonts w:ascii="標楷體" w:eastAsia="標楷體" w:hAnsi="標楷體" w:hint="eastAsia"/>
          <w:sz w:val="28"/>
        </w:rPr>
        <w:t>圖2 108年累計相</w:t>
      </w:r>
      <w:r w:rsidR="00964C9B" w:rsidRPr="00964C9B">
        <w:rPr>
          <w:rFonts w:ascii="標楷體" w:eastAsia="標楷體" w:hAnsi="標楷體" w:hint="eastAsia"/>
          <w:sz w:val="28"/>
        </w:rPr>
        <w:t>同性別-結婚對數</w:t>
      </w:r>
    </w:p>
    <w:p w:rsidR="00467529" w:rsidRDefault="00467529" w:rsidP="00467529">
      <w:pPr>
        <w:spacing w:beforeLines="50" w:before="180" w:afterLines="50" w:after="180" w:line="520" w:lineRule="exact"/>
        <w:ind w:firstLineChars="200" w:firstLine="480"/>
        <w:jc w:val="center"/>
        <w:rPr>
          <w:rFonts w:ascii="標楷體" w:eastAsia="標楷體" w:hAnsi="標楷體"/>
          <w:sz w:val="28"/>
        </w:rPr>
      </w:pPr>
      <w:r w:rsidRPr="00467529">
        <w:rPr>
          <w:rFonts w:ascii="標楷體" w:eastAsia="標楷體" w:hAnsi="標楷體" w:hint="eastAsia"/>
        </w:rPr>
        <w:t>資料來源:行政院性別平等處</w:t>
      </w:r>
    </w:p>
    <w:p w:rsidR="00BD274C" w:rsidRDefault="00A52658" w:rsidP="00467529">
      <w:pPr>
        <w:spacing w:beforeLines="50" w:before="180" w:afterLines="50" w:after="180" w:line="520" w:lineRule="exact"/>
        <w:ind w:firstLineChars="200" w:firstLine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我國</w:t>
      </w:r>
      <w:r w:rsidR="00AB2DEC">
        <w:rPr>
          <w:rFonts w:ascii="標楷體" w:eastAsia="標楷體" w:hAnsi="標楷體" w:hint="eastAsia"/>
          <w:sz w:val="28"/>
        </w:rPr>
        <w:t>在108</w:t>
      </w:r>
      <w:r>
        <w:rPr>
          <w:rFonts w:ascii="標楷體" w:eastAsia="標楷體" w:hAnsi="標楷體" w:hint="eastAsia"/>
          <w:sz w:val="28"/>
        </w:rPr>
        <w:t>年5月24</w:t>
      </w:r>
      <w:r w:rsidR="00AB2DEC">
        <w:rPr>
          <w:rFonts w:ascii="標楷體" w:eastAsia="標楷體" w:hAnsi="標楷體" w:hint="eastAsia"/>
          <w:sz w:val="28"/>
        </w:rPr>
        <w:t>日</w:t>
      </w:r>
      <w:r w:rsidRPr="00A52658">
        <w:rPr>
          <w:rFonts w:ascii="標楷體" w:eastAsia="標楷體" w:hAnsi="標楷體" w:hint="eastAsia"/>
          <w:sz w:val="28"/>
        </w:rPr>
        <w:t>開放同性合法登記結婚，成為亞洲第一個同婚合法的國家。在同婚合法化</w:t>
      </w:r>
      <w:r>
        <w:rPr>
          <w:rFonts w:ascii="標楷體" w:eastAsia="標楷體" w:hAnsi="標楷體" w:hint="eastAsia"/>
          <w:sz w:val="28"/>
        </w:rPr>
        <w:t>至本年底，行政院</w:t>
      </w:r>
      <w:r w:rsidRPr="00A52658">
        <w:rPr>
          <w:rFonts w:ascii="標楷體" w:eastAsia="標楷體" w:hAnsi="標楷體" w:hint="eastAsia"/>
          <w:sz w:val="28"/>
        </w:rPr>
        <w:t>統計顯示，雖有</w:t>
      </w:r>
      <w:r>
        <w:rPr>
          <w:rFonts w:ascii="標楷體" w:eastAsia="標楷體" w:hAnsi="標楷體" w:hint="eastAsia"/>
          <w:sz w:val="28"/>
        </w:rPr>
        <w:t>2</w:t>
      </w:r>
      <w:r>
        <w:rPr>
          <w:rFonts w:ascii="標楷體" w:eastAsia="標楷體" w:hAnsi="標楷體"/>
          <w:sz w:val="28"/>
        </w:rPr>
        <w:t>,</w:t>
      </w:r>
      <w:r>
        <w:rPr>
          <w:rFonts w:ascii="標楷體" w:eastAsia="標楷體" w:hAnsi="標楷體" w:hint="eastAsia"/>
          <w:sz w:val="28"/>
        </w:rPr>
        <w:t>939</w:t>
      </w:r>
      <w:r w:rsidRPr="00A52658">
        <w:rPr>
          <w:rFonts w:ascii="標楷體" w:eastAsia="標楷體" w:hAnsi="標楷體" w:hint="eastAsia"/>
          <w:sz w:val="28"/>
        </w:rPr>
        <w:t>對同性伴侶順利登記結婚，其中卻有</w:t>
      </w:r>
      <w:r>
        <w:rPr>
          <w:rFonts w:ascii="標楷體" w:eastAsia="標楷體" w:hAnsi="標楷體" w:hint="eastAsia"/>
          <w:sz w:val="28"/>
        </w:rPr>
        <w:t>110</w:t>
      </w:r>
      <w:r w:rsidRPr="00A52658">
        <w:rPr>
          <w:rFonts w:ascii="標楷體" w:eastAsia="標楷體" w:hAnsi="標楷體" w:hint="eastAsia"/>
          <w:sz w:val="28"/>
        </w:rPr>
        <w:t>對已經勞燕分飛</w:t>
      </w:r>
      <w:r w:rsidR="00E62AA5">
        <w:rPr>
          <w:rFonts w:ascii="標楷體" w:eastAsia="標楷體" w:hAnsi="標楷體" w:hint="eastAsia"/>
          <w:sz w:val="28"/>
        </w:rPr>
        <w:t>；同年不同性別離婚率，以六都來看，臺北市最高53.69%</w:t>
      </w:r>
      <w:r w:rsidR="006E3E21">
        <w:rPr>
          <w:rFonts w:ascii="標楷體" w:eastAsia="標楷體" w:hAnsi="標楷體" w:hint="eastAsia"/>
          <w:sz w:val="28"/>
        </w:rPr>
        <w:t>，桃園最低35.61%；而同性別離婚率，高雄市最高4.29%，臺北市最低1.45%。</w:t>
      </w:r>
    </w:p>
    <w:p w:rsidR="006E3E21" w:rsidRDefault="006E3E21" w:rsidP="006E3E21">
      <w:pPr>
        <w:spacing w:line="520" w:lineRule="exact"/>
        <w:ind w:firstLineChars="200" w:firstLine="480"/>
        <w:jc w:val="center"/>
        <w:rPr>
          <w:rFonts w:ascii="標楷體" w:eastAsia="標楷體" w:hAnsi="標楷體"/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46B86117" wp14:editId="5F3C0542">
            <wp:simplePos x="0" y="0"/>
            <wp:positionH relativeFrom="margin">
              <wp:posOffset>521487</wp:posOffset>
            </wp:positionH>
            <wp:positionV relativeFrom="paragraph">
              <wp:posOffset>522330</wp:posOffset>
            </wp:positionV>
            <wp:extent cx="4203065" cy="2046605"/>
            <wp:effectExtent l="0" t="0" r="0" b="0"/>
            <wp:wrapTopAndBottom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sz w:val="28"/>
        </w:rPr>
        <w:t xml:space="preserve">圖3 </w:t>
      </w:r>
      <w:r w:rsidRPr="006E3E21">
        <w:rPr>
          <w:rFonts w:ascii="標楷體" w:eastAsia="標楷體" w:hAnsi="標楷體" w:hint="eastAsia"/>
          <w:sz w:val="28"/>
        </w:rPr>
        <w:t>108年累計不同性別-</w:t>
      </w:r>
      <w:r>
        <w:rPr>
          <w:rFonts w:ascii="標楷體" w:eastAsia="標楷體" w:hAnsi="標楷體" w:hint="eastAsia"/>
          <w:sz w:val="28"/>
        </w:rPr>
        <w:t>離婚率</w:t>
      </w:r>
    </w:p>
    <w:p w:rsidR="006E3E21" w:rsidRDefault="00467529" w:rsidP="006E3E21">
      <w:pPr>
        <w:spacing w:line="520" w:lineRule="exact"/>
        <w:ind w:firstLineChars="200" w:firstLine="480"/>
        <w:jc w:val="center"/>
        <w:rPr>
          <w:rFonts w:ascii="標楷體" w:eastAsia="標楷體" w:hAnsi="標楷體"/>
          <w:sz w:val="28"/>
        </w:rPr>
      </w:pPr>
      <w:r w:rsidRPr="00467529">
        <w:rPr>
          <w:rFonts w:ascii="標楷體" w:eastAsia="標楷體" w:hAnsi="標楷體" w:hint="eastAsia"/>
        </w:rPr>
        <w:t>資料來源:行政院性別平等處</w:t>
      </w:r>
    </w:p>
    <w:p w:rsidR="006E3E21" w:rsidRDefault="006E3E21" w:rsidP="006E3E21">
      <w:pPr>
        <w:spacing w:line="520" w:lineRule="exact"/>
        <w:ind w:firstLineChars="200" w:firstLine="480"/>
        <w:jc w:val="center"/>
        <w:rPr>
          <w:rFonts w:ascii="標楷體" w:eastAsia="標楷體" w:hAnsi="標楷體"/>
          <w:sz w:val="28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528372A9" wp14:editId="055F8634">
            <wp:simplePos x="0" y="0"/>
            <wp:positionH relativeFrom="margin">
              <wp:align>center</wp:align>
            </wp:positionH>
            <wp:positionV relativeFrom="paragraph">
              <wp:posOffset>541380</wp:posOffset>
            </wp:positionV>
            <wp:extent cx="4572000" cy="2743200"/>
            <wp:effectExtent l="0" t="0" r="0" b="0"/>
            <wp:wrapTopAndBottom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sz w:val="28"/>
        </w:rPr>
        <w:t>圖4 108年累計相</w:t>
      </w:r>
      <w:r w:rsidRPr="00964C9B">
        <w:rPr>
          <w:rFonts w:ascii="標楷體" w:eastAsia="標楷體" w:hAnsi="標楷體" w:hint="eastAsia"/>
          <w:sz w:val="28"/>
        </w:rPr>
        <w:t>同性別-</w:t>
      </w:r>
      <w:r>
        <w:rPr>
          <w:rFonts w:ascii="標楷體" w:eastAsia="標楷體" w:hAnsi="標楷體" w:hint="eastAsia"/>
          <w:sz w:val="28"/>
        </w:rPr>
        <w:t>離婚率</w:t>
      </w:r>
      <w:bookmarkStart w:id="0" w:name="_GoBack"/>
      <w:bookmarkEnd w:id="0"/>
    </w:p>
    <w:p w:rsidR="00334B67" w:rsidRPr="00467529" w:rsidRDefault="00467529" w:rsidP="006E3E21">
      <w:pPr>
        <w:spacing w:line="520" w:lineRule="exact"/>
        <w:ind w:firstLineChars="200" w:firstLine="480"/>
        <w:jc w:val="center"/>
        <w:rPr>
          <w:rFonts w:ascii="標楷體" w:eastAsia="標楷體" w:hAnsi="標楷體"/>
        </w:rPr>
      </w:pPr>
      <w:r w:rsidRPr="00467529">
        <w:rPr>
          <w:rFonts w:ascii="標楷體" w:eastAsia="標楷體" w:hAnsi="標楷體" w:hint="eastAsia"/>
        </w:rPr>
        <w:t>資料來源:行政院性別平等處</w:t>
      </w:r>
    </w:p>
    <w:p w:rsidR="00334B67" w:rsidRPr="00AD6311" w:rsidRDefault="00335790" w:rsidP="00AD6311">
      <w:pPr>
        <w:spacing w:line="520" w:lineRule="exact"/>
        <w:ind w:firstLineChars="200" w:firstLine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多元性別在社會上是性</w:t>
      </w:r>
      <w:r w:rsidRPr="00335790">
        <w:rPr>
          <w:rFonts w:ascii="標楷體" w:eastAsia="標楷體" w:hAnsi="標楷體" w:hint="eastAsia"/>
          <w:sz w:val="28"/>
        </w:rPr>
        <w:t>別弱勢者與邊緣者</w:t>
      </w:r>
      <w:r>
        <w:rPr>
          <w:rFonts w:ascii="標楷體" w:eastAsia="標楷體" w:hAnsi="標楷體" w:hint="eastAsia"/>
          <w:sz w:val="28"/>
        </w:rPr>
        <w:t>，</w:t>
      </w:r>
      <w:r w:rsidRPr="00335790">
        <w:rPr>
          <w:rFonts w:ascii="標楷體" w:eastAsia="標楷體" w:hAnsi="標楷體" w:hint="eastAsia"/>
          <w:sz w:val="28"/>
        </w:rPr>
        <w:t>正視與理解他</w:t>
      </w:r>
      <w:r w:rsidRPr="00335790">
        <w:rPr>
          <w:rFonts w:ascii="標楷體" w:eastAsia="標楷體" w:hAnsi="標楷體"/>
          <w:sz w:val="28"/>
        </w:rPr>
        <w:t>/</w:t>
      </w:r>
      <w:r w:rsidRPr="00335790">
        <w:rPr>
          <w:rFonts w:ascii="標楷體" w:eastAsia="標楷體" w:hAnsi="標楷體" w:hint="eastAsia"/>
          <w:sz w:val="28"/>
        </w:rPr>
        <w:t>她們在主流社會中不利的處境與現狀</w:t>
      </w:r>
      <w:r w:rsidR="00AD6311">
        <w:rPr>
          <w:rFonts w:ascii="標楷體" w:eastAsia="標楷體" w:hAnsi="標楷體" w:hint="eastAsia"/>
          <w:sz w:val="28"/>
        </w:rPr>
        <w:t>，</w:t>
      </w:r>
      <w:r w:rsidR="002041CF">
        <w:rPr>
          <w:rFonts w:ascii="標楷體" w:eastAsia="標楷體" w:hAnsi="標楷體" w:hint="eastAsia"/>
          <w:sz w:val="28"/>
        </w:rPr>
        <w:t>而</w:t>
      </w:r>
      <w:r w:rsidR="00AD6311">
        <w:rPr>
          <w:rFonts w:ascii="標楷體" w:eastAsia="標楷體" w:hAnsi="標楷體" w:hint="eastAsia"/>
          <w:sz w:val="28"/>
        </w:rPr>
        <w:t>在現今的社會</w:t>
      </w:r>
      <w:r w:rsidR="00AD6311" w:rsidRPr="00AD6311">
        <w:rPr>
          <w:rFonts w:ascii="標楷體" w:eastAsia="標楷體" w:hAnsi="標楷體" w:hint="eastAsia"/>
          <w:sz w:val="28"/>
        </w:rPr>
        <w:t>性別議題其實是個嚴肅的挑戰</w:t>
      </w:r>
      <w:r w:rsidR="00AD6311">
        <w:rPr>
          <w:rFonts w:ascii="標楷體" w:eastAsia="標楷體" w:hAnsi="標楷體" w:hint="eastAsia"/>
          <w:sz w:val="28"/>
        </w:rPr>
        <w:t>，</w:t>
      </w:r>
      <w:r w:rsidR="00AD6311" w:rsidRPr="00AD6311">
        <w:rPr>
          <w:rFonts w:ascii="標楷體" w:eastAsia="標楷體" w:hAnsi="標楷體" w:hint="eastAsia"/>
          <w:sz w:val="28"/>
        </w:rPr>
        <w:t>因為它延伸到每個人對自己的自我認同，每個人接觸性別議題，可能很自然而然的，腦海中會出現傳統的性別意識（將性別分為男女兩性，忽視其他族群的權益）。但多元性別是嶄新的概念，實質上也有這麼多不同性別特質、性傾向的同學，他</w:t>
      </w:r>
      <w:r w:rsidR="00AD6311" w:rsidRPr="00AD6311">
        <w:rPr>
          <w:rFonts w:ascii="標楷體" w:eastAsia="標楷體" w:hAnsi="標楷體"/>
          <w:sz w:val="28"/>
        </w:rPr>
        <w:t>/</w:t>
      </w:r>
      <w:r w:rsidR="00AD6311" w:rsidRPr="00AD6311">
        <w:rPr>
          <w:rFonts w:ascii="標楷體" w:eastAsia="標楷體" w:hAnsi="標楷體" w:hint="eastAsia"/>
          <w:sz w:val="28"/>
        </w:rPr>
        <w:t>她們需要一個友善的環境，來協助他</w:t>
      </w:r>
      <w:r w:rsidR="00AD6311" w:rsidRPr="00AD6311">
        <w:rPr>
          <w:rFonts w:ascii="標楷體" w:eastAsia="標楷體" w:hAnsi="標楷體"/>
          <w:sz w:val="28"/>
        </w:rPr>
        <w:t>/</w:t>
      </w:r>
      <w:r w:rsidR="00AD6311" w:rsidRPr="00AD6311">
        <w:rPr>
          <w:rFonts w:ascii="標楷體" w:eastAsia="標楷體" w:hAnsi="標楷體" w:hint="eastAsia"/>
          <w:sz w:val="28"/>
        </w:rPr>
        <w:t>她們自我認同。</w:t>
      </w:r>
      <w:r w:rsidR="00AD6311">
        <w:rPr>
          <w:rFonts w:ascii="標楷體" w:eastAsia="標楷體" w:hAnsi="標楷體" w:hint="eastAsia"/>
          <w:sz w:val="28"/>
        </w:rPr>
        <w:t>同時我們也該多了</w:t>
      </w:r>
      <w:r w:rsidR="00AD6311">
        <w:rPr>
          <w:rFonts w:ascii="標楷體" w:eastAsia="標楷體" w:hAnsi="標楷體" w:hint="eastAsia"/>
          <w:sz w:val="28"/>
        </w:rPr>
        <w:lastRenderedPageBreak/>
        <w:t>解多元性別，唯有了解後才能認同</w:t>
      </w:r>
      <w:r w:rsidR="00AD6311" w:rsidRPr="00AD6311">
        <w:rPr>
          <w:rFonts w:ascii="標楷體" w:eastAsia="標楷體" w:hAnsi="標楷體" w:hint="eastAsia"/>
          <w:sz w:val="28"/>
        </w:rPr>
        <w:t>他</w:t>
      </w:r>
      <w:r w:rsidR="00AD6311" w:rsidRPr="00AD6311">
        <w:rPr>
          <w:rFonts w:ascii="標楷體" w:eastAsia="標楷體" w:hAnsi="標楷體"/>
          <w:sz w:val="28"/>
        </w:rPr>
        <w:t>/</w:t>
      </w:r>
      <w:r w:rsidR="00AD6311" w:rsidRPr="00AD6311">
        <w:rPr>
          <w:rFonts w:ascii="標楷體" w:eastAsia="標楷體" w:hAnsi="標楷體" w:hint="eastAsia"/>
          <w:sz w:val="28"/>
        </w:rPr>
        <w:t>她們</w:t>
      </w:r>
      <w:r w:rsidR="00AD6311">
        <w:rPr>
          <w:rFonts w:ascii="標楷體" w:eastAsia="標楷體" w:hAnsi="標楷體" w:hint="eastAsia"/>
          <w:sz w:val="28"/>
        </w:rPr>
        <w:t>，有很多的弱勢</w:t>
      </w:r>
      <w:r w:rsidR="00AD6311" w:rsidRPr="00AD6311">
        <w:rPr>
          <w:rFonts w:ascii="標楷體" w:eastAsia="標楷體" w:hAnsi="標楷體" w:hint="eastAsia"/>
          <w:sz w:val="28"/>
        </w:rPr>
        <w:t xml:space="preserve"> </w:t>
      </w:r>
    </w:p>
    <w:p w:rsidR="006E3E21" w:rsidRDefault="00032C9A" w:rsidP="00D51867">
      <w:pPr>
        <w:spacing w:line="52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="00744688">
        <w:rPr>
          <w:rFonts w:ascii="標楷體" w:eastAsia="標楷體" w:hAnsi="標楷體" w:hint="eastAsia"/>
          <w:sz w:val="28"/>
        </w:rPr>
        <w:t>我國近幾年來對於多元性別有著那些改變，在</w:t>
      </w:r>
      <w:r w:rsidR="00AD6311">
        <w:rPr>
          <w:rFonts w:ascii="標楷體" w:eastAsia="標楷體" w:hAnsi="標楷體" w:hint="eastAsia"/>
          <w:sz w:val="28"/>
        </w:rPr>
        <w:t>104</w:t>
      </w:r>
      <w:r w:rsidR="00AD6311" w:rsidRPr="005F33E4">
        <w:rPr>
          <w:rFonts w:ascii="標楷體" w:eastAsia="標楷體" w:hAnsi="標楷體" w:hint="eastAsia"/>
          <w:sz w:val="28"/>
        </w:rPr>
        <w:t>、</w:t>
      </w:r>
      <w:r w:rsidR="00AD6311">
        <w:rPr>
          <w:rFonts w:ascii="標楷體" w:eastAsia="標楷體" w:hAnsi="標楷體" w:hint="eastAsia"/>
          <w:sz w:val="28"/>
        </w:rPr>
        <w:t>105</w:t>
      </w:r>
      <w:r w:rsidR="00AD6311" w:rsidRPr="005F33E4">
        <w:rPr>
          <w:rFonts w:ascii="標楷體" w:eastAsia="標楷體" w:hAnsi="標楷體" w:hint="eastAsia"/>
          <w:sz w:val="28"/>
        </w:rPr>
        <w:t>年間，部分</w:t>
      </w:r>
      <w:r w:rsidR="00AD6311">
        <w:rPr>
          <w:rFonts w:ascii="標楷體" w:eastAsia="標楷體" w:hAnsi="標楷體" w:hint="eastAsia"/>
          <w:sz w:val="28"/>
        </w:rPr>
        <w:t>縣市</w:t>
      </w:r>
      <w:r w:rsidR="00AD6311" w:rsidRPr="005F33E4">
        <w:rPr>
          <w:rFonts w:ascii="標楷體" w:eastAsia="標楷體" w:hAnsi="標楷體" w:hint="eastAsia"/>
          <w:sz w:val="28"/>
        </w:rPr>
        <w:t>（除雲林縣</w:t>
      </w:r>
      <w:r w:rsidR="00744688">
        <w:rPr>
          <w:rFonts w:ascii="標楷體" w:eastAsia="標楷體" w:hAnsi="標楷體" w:hint="eastAsia"/>
          <w:sz w:val="28"/>
        </w:rPr>
        <w:t>、花蓮縣、台東縣、澎湖縣外）逐步開放受理「同性伴侶」的戶政註記，</w:t>
      </w:r>
      <w:r w:rsidR="00AD6311" w:rsidRPr="005F33E4">
        <w:rPr>
          <w:rFonts w:ascii="標楷體" w:eastAsia="標楷體" w:hAnsi="標楷體" w:hint="eastAsia"/>
          <w:sz w:val="28"/>
        </w:rPr>
        <w:t>臺北市聯合婚禮開全國先例，首度開放同性伴侶參加</w:t>
      </w:r>
      <w:r w:rsidR="00AD6311">
        <w:rPr>
          <w:rFonts w:ascii="標楷體" w:eastAsia="標楷體" w:hAnsi="標楷體" w:hint="eastAsia"/>
          <w:sz w:val="28"/>
        </w:rPr>
        <w:t>，至</w:t>
      </w:r>
      <w:r w:rsidR="00AD6311" w:rsidRPr="00AB2DEC">
        <w:rPr>
          <w:rFonts w:ascii="標楷體" w:eastAsia="標楷體" w:hAnsi="標楷體" w:hint="eastAsia"/>
          <w:sz w:val="28"/>
        </w:rPr>
        <w:t>108年5月24日開放同性合法登記結婚</w:t>
      </w:r>
      <w:r w:rsidR="00AD6311">
        <w:rPr>
          <w:rFonts w:ascii="標楷體" w:eastAsia="標楷體" w:hAnsi="標楷體" w:hint="eastAsia"/>
          <w:sz w:val="28"/>
        </w:rPr>
        <w:t>。</w:t>
      </w:r>
      <w:r w:rsidR="00D82D81">
        <w:rPr>
          <w:rFonts w:ascii="標楷體" w:eastAsia="標楷體" w:hAnsi="標楷體" w:hint="eastAsia"/>
          <w:sz w:val="28"/>
        </w:rPr>
        <w:t>雖然政策上已開放合法結婚</w:t>
      </w:r>
      <w:r w:rsidR="00D51867">
        <w:rPr>
          <w:rFonts w:ascii="標楷體" w:eastAsia="標楷體" w:hAnsi="標楷體" w:hint="eastAsia"/>
          <w:sz w:val="28"/>
        </w:rPr>
        <w:t>，但</w:t>
      </w:r>
      <w:r w:rsidR="00D82D81">
        <w:rPr>
          <w:rFonts w:ascii="標楷體" w:eastAsia="標楷體" w:hAnsi="標楷體" w:hint="eastAsia"/>
          <w:sz w:val="28"/>
        </w:rPr>
        <w:t>現實中面對多元性別</w:t>
      </w:r>
      <w:r w:rsidR="00D51867" w:rsidRPr="00D51867">
        <w:rPr>
          <w:rFonts w:ascii="標楷體" w:eastAsia="標楷體" w:hAnsi="標楷體" w:hint="eastAsia"/>
          <w:sz w:val="28"/>
        </w:rPr>
        <w:t>，我們</w:t>
      </w:r>
      <w:r w:rsidR="00D82D81">
        <w:rPr>
          <w:rFonts w:ascii="標楷體" w:eastAsia="標楷體" w:hAnsi="標楷體" w:hint="eastAsia"/>
          <w:sz w:val="28"/>
        </w:rPr>
        <w:t>依舊</w:t>
      </w:r>
      <w:r w:rsidR="00D51867">
        <w:rPr>
          <w:rFonts w:ascii="標楷體" w:eastAsia="標楷體" w:hAnsi="標楷體" w:hint="eastAsia"/>
          <w:sz w:val="28"/>
        </w:rPr>
        <w:t>有</w:t>
      </w:r>
      <w:r w:rsidR="00D82D81">
        <w:rPr>
          <w:rFonts w:ascii="標楷體" w:eastAsia="標楷體" w:hAnsi="標楷體" w:hint="eastAsia"/>
          <w:sz w:val="28"/>
        </w:rPr>
        <w:t>著</w:t>
      </w:r>
      <w:r w:rsidR="00D51867">
        <w:rPr>
          <w:rFonts w:ascii="標楷體" w:eastAsia="標楷體" w:hAnsi="標楷體" w:hint="eastAsia"/>
          <w:sz w:val="28"/>
        </w:rPr>
        <w:t>更多的</w:t>
      </w:r>
      <w:r w:rsidR="00D51867" w:rsidRPr="00D51867">
        <w:rPr>
          <w:rFonts w:ascii="標楷體" w:eastAsia="標楷體" w:hAnsi="標楷體" w:hint="eastAsia"/>
          <w:sz w:val="28"/>
        </w:rPr>
        <w:t>努力</w:t>
      </w:r>
      <w:r w:rsidR="00D51867">
        <w:rPr>
          <w:rFonts w:ascii="標楷體" w:eastAsia="標楷體" w:hAnsi="標楷體" w:hint="eastAsia"/>
          <w:sz w:val="28"/>
        </w:rPr>
        <w:t>要做</w:t>
      </w:r>
      <w:r w:rsidR="00D51867" w:rsidRPr="00D51867">
        <w:rPr>
          <w:rFonts w:ascii="標楷體" w:eastAsia="標楷體" w:hAnsi="標楷體" w:hint="eastAsia"/>
          <w:sz w:val="28"/>
        </w:rPr>
        <w:t>，</w:t>
      </w:r>
      <w:r w:rsidR="002C1CD2">
        <w:rPr>
          <w:rFonts w:ascii="標楷體" w:eastAsia="標楷體" w:hAnsi="標楷體" w:hint="eastAsia"/>
          <w:sz w:val="28"/>
        </w:rPr>
        <w:t>可</w:t>
      </w:r>
      <w:r w:rsidR="00D82D81">
        <w:rPr>
          <w:rFonts w:ascii="標楷體" w:eastAsia="標楷體" w:hAnsi="標楷體" w:hint="eastAsia"/>
          <w:sz w:val="28"/>
        </w:rPr>
        <w:t>從以下幾個方面</w:t>
      </w:r>
      <w:r w:rsidR="002C1CD2">
        <w:rPr>
          <w:rFonts w:ascii="標楷體" w:eastAsia="標楷體" w:hAnsi="標楷體" w:hint="eastAsia"/>
          <w:sz w:val="28"/>
        </w:rPr>
        <w:t>做起，</w:t>
      </w:r>
      <w:r w:rsidR="00D51867" w:rsidRPr="00D51867">
        <w:rPr>
          <w:rFonts w:ascii="標楷體" w:eastAsia="標楷體" w:hAnsi="標楷體" w:hint="eastAsia"/>
          <w:sz w:val="28"/>
        </w:rPr>
        <w:t>尊重性別差異與多元性別傾向</w:t>
      </w:r>
      <w:r w:rsidR="00D82D81">
        <w:rPr>
          <w:rFonts w:ascii="標楷體" w:eastAsia="標楷體" w:hAnsi="標楷體" w:hint="eastAsia"/>
          <w:sz w:val="28"/>
        </w:rPr>
        <w:t>、</w:t>
      </w:r>
      <w:r w:rsidR="00D51867" w:rsidRPr="00D51867">
        <w:rPr>
          <w:rFonts w:ascii="標楷體" w:eastAsia="標楷體" w:hAnsi="標楷體" w:hint="eastAsia"/>
          <w:sz w:val="28"/>
        </w:rPr>
        <w:t>協助建立多元的性向探索管道</w:t>
      </w:r>
      <w:r w:rsidR="00D82D81">
        <w:rPr>
          <w:rFonts w:ascii="標楷體" w:eastAsia="標楷體" w:hAnsi="標楷體" w:hint="eastAsia"/>
          <w:sz w:val="28"/>
        </w:rPr>
        <w:t>及</w:t>
      </w:r>
      <w:r w:rsidR="00D51867" w:rsidRPr="00D51867">
        <w:rPr>
          <w:rFonts w:ascii="標楷體" w:eastAsia="標楷體" w:hAnsi="標楷體" w:hint="eastAsia"/>
          <w:sz w:val="28"/>
        </w:rPr>
        <w:t>增加多元性別的觀念及知識</w:t>
      </w:r>
      <w:r w:rsidR="002C1CD2">
        <w:rPr>
          <w:rFonts w:ascii="標楷體" w:eastAsia="標楷體" w:hAnsi="標楷體" w:hint="eastAsia"/>
          <w:sz w:val="28"/>
        </w:rPr>
        <w:t>。</w:t>
      </w:r>
    </w:p>
    <w:p w:rsidR="00D51867" w:rsidRPr="00D82D81" w:rsidRDefault="00D51867" w:rsidP="00D82D81">
      <w:pPr>
        <w:spacing w:beforeLines="50" w:before="180" w:afterLines="50" w:after="180" w:line="520" w:lineRule="exact"/>
        <w:jc w:val="center"/>
        <w:rPr>
          <w:rFonts w:ascii="標楷體" w:eastAsia="標楷體" w:hAnsi="標楷體"/>
        </w:rPr>
      </w:pPr>
      <w:r w:rsidRPr="00D82D81">
        <w:rPr>
          <w:rFonts w:ascii="標楷體" w:eastAsia="標楷體" w:hAnsi="標楷體" w:hint="eastAsia"/>
        </w:rPr>
        <w:t xml:space="preserve">表1 </w:t>
      </w:r>
      <w:r w:rsidR="00D82D81" w:rsidRPr="00D82D81">
        <w:rPr>
          <w:rFonts w:ascii="標楷體" w:eastAsia="標楷體" w:hAnsi="標楷體" w:hint="eastAsia"/>
        </w:rPr>
        <w:t>108年1-12月累計結、離婚對數按性別、縣市別分（按登記日期）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9"/>
        <w:gridCol w:w="882"/>
        <w:gridCol w:w="1096"/>
        <w:gridCol w:w="1119"/>
        <w:gridCol w:w="1054"/>
        <w:gridCol w:w="1054"/>
        <w:gridCol w:w="1054"/>
        <w:gridCol w:w="1053"/>
      </w:tblGrid>
      <w:tr w:rsidR="00D51867" w:rsidRPr="00D51867" w:rsidTr="00D82D81">
        <w:trPr>
          <w:trHeight w:hRule="exact" w:val="312"/>
          <w:tblHeader/>
        </w:trPr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96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結婚對數</w:t>
            </w:r>
          </w:p>
        </w:tc>
        <w:tc>
          <w:tcPr>
            <w:tcW w:w="190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離婚/終止對數</w:t>
            </w:r>
          </w:p>
        </w:tc>
      </w:tr>
      <w:tr w:rsidR="00D51867" w:rsidRPr="00D51867" w:rsidTr="00D82D81">
        <w:trPr>
          <w:trHeight w:hRule="exact" w:val="312"/>
          <w:tblHeader/>
        </w:trPr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6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合計</w:t>
            </w:r>
          </w:p>
        </w:tc>
        <w:tc>
          <w:tcPr>
            <w:tcW w:w="6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不同性別</w:t>
            </w:r>
          </w:p>
        </w:tc>
        <w:tc>
          <w:tcPr>
            <w:tcW w:w="6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相同性別</w:t>
            </w:r>
          </w:p>
        </w:tc>
        <w:tc>
          <w:tcPr>
            <w:tcW w:w="6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合計</w:t>
            </w:r>
          </w:p>
        </w:tc>
        <w:tc>
          <w:tcPr>
            <w:tcW w:w="6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不同性別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相同性別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66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6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6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6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6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6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總計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134,524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131,585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2,939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54,473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54,363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110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928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2,011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新北市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24,062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23,448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614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9,661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9,645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臺北市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14,834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14,350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484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5,477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5,470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187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297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桃園市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14,073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13,783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290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5,979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5,967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87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臺中市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17,103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16,755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348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6,624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6,612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86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262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臺南市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10,377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10,188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189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4,035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4,027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146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高雄市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15,335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14,939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396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6,404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6,387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17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148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248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宜蘭縣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2,559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2,509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996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996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新竹縣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3,346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3,279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1,322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1,321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苗栗縣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2,886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2,835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1,364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1,359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彰化縣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6,707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6,659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2,440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2,438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南投縣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2,571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2,544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1,107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1,106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雲林縣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3,423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3,396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1,417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1,414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嘉義縣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2,397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2,372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1,077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1,073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屏東縣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4,307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4,218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89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1,958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1,947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臺東縣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1,201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1,180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566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565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花蓮縣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1,972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1,906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952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950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澎湖縣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621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613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284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283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基隆市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2,018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1,977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938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935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新竹市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2,616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2,544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998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995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嘉義市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1,382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1,363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609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608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金馬地區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734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727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265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265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lastRenderedPageBreak/>
              <w:t>金門縣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665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658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233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233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連江縣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合計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  <w:tr w:rsidR="00D51867" w:rsidRPr="00D51867" w:rsidTr="00D82D81">
        <w:trPr>
          <w:trHeight w:hRule="exact" w:val="312"/>
        </w:trPr>
        <w:tc>
          <w:tcPr>
            <w:tcW w:w="596" w:type="pct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867" w:rsidRPr="00D51867" w:rsidRDefault="00D51867" w:rsidP="00D51867">
            <w:pPr>
              <w:widowControl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1867" w:rsidRPr="00D51867" w:rsidRDefault="00D51867" w:rsidP="00D5186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D51867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─</w:t>
            </w:r>
          </w:p>
        </w:tc>
      </w:tr>
    </w:tbl>
    <w:p w:rsidR="00D51867" w:rsidRPr="00D82D81" w:rsidRDefault="00D82D81" w:rsidP="00D82D81">
      <w:pPr>
        <w:spacing w:line="520" w:lineRule="exact"/>
        <w:jc w:val="right"/>
        <w:rPr>
          <w:rFonts w:ascii="標楷體" w:eastAsia="標楷體" w:hAnsi="標楷體"/>
          <w:sz w:val="20"/>
        </w:rPr>
      </w:pPr>
      <w:r w:rsidRPr="00D82D81">
        <w:rPr>
          <w:rFonts w:ascii="標楷體" w:eastAsia="標楷體" w:hAnsi="標楷體" w:hint="eastAsia"/>
          <w:sz w:val="20"/>
        </w:rPr>
        <w:t>資料來源:行政院性別平等處</w:t>
      </w:r>
    </w:p>
    <w:sectPr w:rsidR="00D51867" w:rsidRPr="00D82D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FDB"/>
    <w:rsid w:val="00032C9A"/>
    <w:rsid w:val="002041CF"/>
    <w:rsid w:val="002C1CD2"/>
    <w:rsid w:val="00334B67"/>
    <w:rsid w:val="00335790"/>
    <w:rsid w:val="003B7214"/>
    <w:rsid w:val="00467529"/>
    <w:rsid w:val="004A322A"/>
    <w:rsid w:val="00581FDB"/>
    <w:rsid w:val="005F33E4"/>
    <w:rsid w:val="00613866"/>
    <w:rsid w:val="006E3E21"/>
    <w:rsid w:val="00744688"/>
    <w:rsid w:val="00784312"/>
    <w:rsid w:val="00964C9B"/>
    <w:rsid w:val="00A52658"/>
    <w:rsid w:val="00AB2DEC"/>
    <w:rsid w:val="00AD6311"/>
    <w:rsid w:val="00BD274C"/>
    <w:rsid w:val="00C702D8"/>
    <w:rsid w:val="00C82D64"/>
    <w:rsid w:val="00D51867"/>
    <w:rsid w:val="00D82D81"/>
    <w:rsid w:val="00E62AA5"/>
    <w:rsid w:val="00F71820"/>
    <w:rsid w:val="00FB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E024B"/>
  <w15:chartTrackingRefBased/>
  <w15:docId w15:val="{C1082311-89C0-4C9C-ACF2-5F35AAE37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atestyle2">
    <w:name w:val="date_style2"/>
    <w:basedOn w:val="a0"/>
    <w:rsid w:val="00964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9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32113;&#35336;\&#21508;&#31185;&#32113;&#35336;&#23560;&#38988;&#20998;&#26512;\109&#24180;&#24230;\&#26371;&#35336;&#23460;\&#21443;&#32771;&#36039;&#26009;\&#35469;&#35672;&#22810;&#20803;&#24615;&#21029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32113;&#35336;\&#21508;&#31185;&#32113;&#35336;&#23560;&#38988;&#20998;&#26512;\109&#24180;&#24230;\&#26371;&#35336;&#23460;\&#21443;&#32771;&#36039;&#26009;\&#35469;&#35672;&#22810;&#20803;&#24615;&#21029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32113;&#35336;\&#21508;&#31185;&#32113;&#35336;&#23560;&#38988;&#20998;&#26512;\109&#24180;&#24230;\&#26371;&#35336;&#23460;\&#21443;&#32771;&#36039;&#26009;\&#35469;&#35672;&#22810;&#20803;&#24615;&#21029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32113;&#35336;\&#21508;&#31185;&#32113;&#35336;&#23560;&#38988;&#20998;&#26512;\109&#24180;&#24230;\&#26371;&#35336;&#23460;\&#21443;&#32771;&#36039;&#26009;\&#35469;&#35672;&#22810;&#20803;&#24615;&#21029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  <c:perspective val="6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0555555555555555E-2"/>
          <c:y val="4.6296296296296294E-2"/>
          <c:w val="0.93888888888888888"/>
          <c:h val="0.89814814814814814"/>
        </c:manualLayout>
      </c:layout>
      <c:pie3DChart>
        <c:varyColors val="1"/>
        <c:ser>
          <c:idx val="0"/>
          <c:order val="0"/>
          <c:tx>
            <c:strRef>
              <c:f>工作表4!$L$1</c:f>
              <c:strCache>
                <c:ptCount val="1"/>
                <c:pt idx="0">
                  <c:v>不同性別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1-590C-40D8-A03C-36BA691D2F2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3-590C-40D8-A03C-36BA691D2F2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5-590C-40D8-A03C-36BA691D2F2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7-590C-40D8-A03C-36BA691D2F2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9-590C-40D8-A03C-36BA691D2F2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B-590C-40D8-A03C-36BA691D2F2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dLblPos val="inEnd"/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工作表4!$K$2:$K$7</c:f>
              <c:strCache>
                <c:ptCount val="6"/>
                <c:pt idx="0">
                  <c:v>新北市</c:v>
                </c:pt>
                <c:pt idx="1">
                  <c:v>臺中市</c:v>
                </c:pt>
                <c:pt idx="2">
                  <c:v>高雄市</c:v>
                </c:pt>
                <c:pt idx="3">
                  <c:v>臺北市</c:v>
                </c:pt>
                <c:pt idx="4">
                  <c:v>桃園市</c:v>
                </c:pt>
                <c:pt idx="5">
                  <c:v>臺南市</c:v>
                </c:pt>
              </c:strCache>
            </c:strRef>
          </c:cat>
          <c:val>
            <c:numRef>
              <c:f>工作表4!$L$2:$L$7</c:f>
              <c:numCache>
                <c:formatCode>#,##0</c:formatCode>
                <c:ptCount val="6"/>
                <c:pt idx="0">
                  <c:v>23448</c:v>
                </c:pt>
                <c:pt idx="1">
                  <c:v>16755</c:v>
                </c:pt>
                <c:pt idx="2">
                  <c:v>14939</c:v>
                </c:pt>
                <c:pt idx="3">
                  <c:v>14350</c:v>
                </c:pt>
                <c:pt idx="4">
                  <c:v>13783</c:v>
                </c:pt>
                <c:pt idx="5">
                  <c:v>10188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590C-40D8-A03C-36BA691D2F20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工作表4!$Q$1</c:f>
              <c:strCache>
                <c:ptCount val="1"/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工作表4!$O$2:$P$13</c:f>
              <c:multiLvlStrCache>
                <c:ptCount val="12"/>
                <c:lvl>
                  <c:pt idx="0">
                    <c:v>男男</c:v>
                  </c:pt>
                  <c:pt idx="1">
                    <c:v>女女</c:v>
                  </c:pt>
                  <c:pt idx="2">
                    <c:v>男男</c:v>
                  </c:pt>
                  <c:pt idx="3">
                    <c:v>女女</c:v>
                  </c:pt>
                  <c:pt idx="4">
                    <c:v>男男</c:v>
                  </c:pt>
                  <c:pt idx="5">
                    <c:v>女女</c:v>
                  </c:pt>
                  <c:pt idx="6">
                    <c:v>男男</c:v>
                  </c:pt>
                  <c:pt idx="7">
                    <c:v>女女</c:v>
                  </c:pt>
                  <c:pt idx="8">
                    <c:v>男男</c:v>
                  </c:pt>
                  <c:pt idx="9">
                    <c:v>女女</c:v>
                  </c:pt>
                  <c:pt idx="10">
                    <c:v>男男</c:v>
                  </c:pt>
                  <c:pt idx="11">
                    <c:v>女女</c:v>
                  </c:pt>
                </c:lvl>
                <c:lvl>
                  <c:pt idx="0">
                    <c:v>新北市</c:v>
                  </c:pt>
                  <c:pt idx="2">
                    <c:v>臺北市</c:v>
                  </c:pt>
                  <c:pt idx="4">
                    <c:v>高雄市</c:v>
                  </c:pt>
                  <c:pt idx="6">
                    <c:v>臺中市</c:v>
                  </c:pt>
                  <c:pt idx="8">
                    <c:v>桃園市</c:v>
                  </c:pt>
                  <c:pt idx="10">
                    <c:v>臺南市</c:v>
                  </c:pt>
                </c:lvl>
              </c:multiLvlStrCache>
            </c:multiLvlStrRef>
          </c:cat>
          <c:val>
            <c:numRef>
              <c:f>工作表4!$Q$2:$Q$13</c:f>
              <c:numCache>
                <c:formatCode>#,##0</c:formatCode>
                <c:ptCount val="12"/>
                <c:pt idx="0" formatCode="General">
                  <c:v>214</c:v>
                </c:pt>
                <c:pt idx="1">
                  <c:v>400</c:v>
                </c:pt>
                <c:pt idx="2" formatCode="General">
                  <c:v>187</c:v>
                </c:pt>
                <c:pt idx="3">
                  <c:v>297</c:v>
                </c:pt>
                <c:pt idx="4" formatCode="General">
                  <c:v>148</c:v>
                </c:pt>
                <c:pt idx="5" formatCode="General">
                  <c:v>248</c:v>
                </c:pt>
                <c:pt idx="6" formatCode="General">
                  <c:v>86</c:v>
                </c:pt>
                <c:pt idx="7" formatCode="General">
                  <c:v>262</c:v>
                </c:pt>
                <c:pt idx="8" formatCode="General">
                  <c:v>87</c:v>
                </c:pt>
                <c:pt idx="9" formatCode="General">
                  <c:v>203</c:v>
                </c:pt>
                <c:pt idx="10" formatCode="General">
                  <c:v>43</c:v>
                </c:pt>
                <c:pt idx="11" formatCode="General">
                  <c:v>146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E31-4053-95E9-7835B3651A0A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097568016"/>
        <c:axId val="1097556784"/>
      </c:barChart>
      <c:catAx>
        <c:axId val="10975680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097556784"/>
        <c:crosses val="autoZero"/>
        <c:auto val="1"/>
        <c:lblAlgn val="ctr"/>
        <c:lblOffset val="100"/>
        <c:noMultiLvlLbl val="0"/>
      </c:catAx>
      <c:valAx>
        <c:axId val="10975567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0975680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  <c:perspective val="6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3237649191720807E-2"/>
          <c:y val="6.8259385665529013E-2"/>
          <c:w val="0.96676235080827921"/>
          <c:h val="0.93174061433447097"/>
        </c:manualLayout>
      </c:layout>
      <c:pie3DChart>
        <c:varyColors val="1"/>
        <c:ser>
          <c:idx val="0"/>
          <c:order val="0"/>
          <c:tx>
            <c:strRef>
              <c:f>工作表2!$H$1</c:f>
              <c:strCache>
                <c:ptCount val="1"/>
                <c:pt idx="0">
                  <c:v>離婚率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1-B4D4-471B-8418-F5DC6BA1F51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3-B4D4-471B-8418-F5DC6BA1F51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5-B4D4-471B-8418-F5DC6BA1F51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7-B4D4-471B-8418-F5DC6BA1F51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9-B4D4-471B-8418-F5DC6BA1F51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>
              <c:ext xmlns:c16="http://schemas.microsoft.com/office/drawing/2014/chart" uri="{C3380CC4-5D6E-409C-BE32-E72D297353CC}">
                <c16:uniqueId val="{0000000B-B4D4-471B-8418-F5DC6BA1F51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dLblPos val="inEnd"/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工作表2!$G$2:$G$7</c:f>
              <c:strCache>
                <c:ptCount val="6"/>
                <c:pt idx="0">
                  <c:v>臺北市</c:v>
                </c:pt>
                <c:pt idx="1">
                  <c:v>高雄市</c:v>
                </c:pt>
                <c:pt idx="2">
                  <c:v>臺中市</c:v>
                </c:pt>
                <c:pt idx="3">
                  <c:v>新北市</c:v>
                </c:pt>
                <c:pt idx="4">
                  <c:v>桃園市</c:v>
                </c:pt>
                <c:pt idx="5">
                  <c:v>臺南市</c:v>
                </c:pt>
              </c:strCache>
            </c:strRef>
          </c:cat>
          <c:val>
            <c:numRef>
              <c:f>工作表2!$H$2:$H$7</c:f>
              <c:numCache>
                <c:formatCode>0.00%</c:formatCode>
                <c:ptCount val="6"/>
                <c:pt idx="0">
                  <c:v>0.53690616411464465</c:v>
                </c:pt>
                <c:pt idx="1">
                  <c:v>0.46339693825727346</c:v>
                </c:pt>
                <c:pt idx="2">
                  <c:v>0.46076655052264809</c:v>
                </c:pt>
                <c:pt idx="3">
                  <c:v>0.41133572159672466</c:v>
                </c:pt>
                <c:pt idx="4">
                  <c:v>0.35613249776186212</c:v>
                </c:pt>
                <c:pt idx="5">
                  <c:v>0.26956288908226789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B4D4-471B-8418-F5DC6BA1F51F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工作表2!$T$1</c:f>
              <c:strCache>
                <c:ptCount val="1"/>
                <c:pt idx="0">
                  <c:v>離婚率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ysClr val="windowText" lastClr="000000"/>
                    </a:solidFill>
                    <a:latin typeface="標楷體" panose="03000509000000000000" pitchFamily="65" charset="-120"/>
                    <a:ea typeface="標楷體" panose="03000509000000000000" pitchFamily="65" charset="-120"/>
                    <a:cs typeface="+mn-cs"/>
                  </a:defRPr>
                </a:pPr>
                <a:endParaRPr lang="zh-TW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multiLvlStrRef>
              <c:f>工作表2!$R$2:$S$19</c:f>
              <c:multiLvlStrCache>
                <c:ptCount val="18"/>
                <c:lvl>
                  <c:pt idx="0">
                    <c:v>合計</c:v>
                  </c:pt>
                  <c:pt idx="1">
                    <c:v>男</c:v>
                  </c:pt>
                  <c:pt idx="2">
                    <c:v>女</c:v>
                  </c:pt>
                  <c:pt idx="3">
                    <c:v>合計</c:v>
                  </c:pt>
                  <c:pt idx="4">
                    <c:v>男</c:v>
                  </c:pt>
                  <c:pt idx="5">
                    <c:v>女</c:v>
                  </c:pt>
                  <c:pt idx="6">
                    <c:v>合計</c:v>
                  </c:pt>
                  <c:pt idx="7">
                    <c:v>男</c:v>
                  </c:pt>
                  <c:pt idx="8">
                    <c:v>女</c:v>
                  </c:pt>
                  <c:pt idx="9">
                    <c:v>合計</c:v>
                  </c:pt>
                  <c:pt idx="10">
                    <c:v>男</c:v>
                  </c:pt>
                  <c:pt idx="11">
                    <c:v>女</c:v>
                  </c:pt>
                  <c:pt idx="12">
                    <c:v>合計</c:v>
                  </c:pt>
                  <c:pt idx="13">
                    <c:v>男</c:v>
                  </c:pt>
                  <c:pt idx="14">
                    <c:v>女</c:v>
                  </c:pt>
                  <c:pt idx="15">
                    <c:v>合計</c:v>
                  </c:pt>
                  <c:pt idx="16">
                    <c:v>男</c:v>
                  </c:pt>
                  <c:pt idx="17">
                    <c:v>女</c:v>
                  </c:pt>
                </c:lvl>
                <c:lvl>
                  <c:pt idx="0">
                    <c:v>新北市</c:v>
                  </c:pt>
                  <c:pt idx="3">
                    <c:v>臺北市</c:v>
                  </c:pt>
                  <c:pt idx="6">
                    <c:v>桃園市</c:v>
                  </c:pt>
                  <c:pt idx="9">
                    <c:v>臺中市</c:v>
                  </c:pt>
                  <c:pt idx="12">
                    <c:v>臺南市</c:v>
                  </c:pt>
                  <c:pt idx="15">
                    <c:v>高雄市</c:v>
                  </c:pt>
                </c:lvl>
              </c:multiLvlStrCache>
            </c:multiLvlStrRef>
          </c:cat>
          <c:val>
            <c:numRef>
              <c:f>工作表2!$T$2:$T$19</c:f>
              <c:numCache>
                <c:formatCode>0.00%</c:formatCode>
                <c:ptCount val="18"/>
                <c:pt idx="0">
                  <c:v>2.6058631921824105E-2</c:v>
                </c:pt>
                <c:pt idx="1">
                  <c:v>2.336448598130841E-2</c:v>
                </c:pt>
                <c:pt idx="2">
                  <c:v>2.75E-2</c:v>
                </c:pt>
                <c:pt idx="3">
                  <c:v>1.4462809917355372E-2</c:v>
                </c:pt>
                <c:pt idx="4">
                  <c:v>5.3475935828877002E-3</c:v>
                </c:pt>
                <c:pt idx="5">
                  <c:v>2.0202020202020204E-2</c:v>
                </c:pt>
                <c:pt idx="6">
                  <c:v>4.1379310344827586E-2</c:v>
                </c:pt>
                <c:pt idx="7">
                  <c:v>6.8965517241379309E-2</c:v>
                </c:pt>
                <c:pt idx="8">
                  <c:v>2.9556650246305417E-2</c:v>
                </c:pt>
                <c:pt idx="9">
                  <c:v>3.4482758620689655E-2</c:v>
                </c:pt>
                <c:pt idx="10">
                  <c:v>5.8139534883720929E-2</c:v>
                </c:pt>
                <c:pt idx="11">
                  <c:v>2.6717557251908396E-2</c:v>
                </c:pt>
                <c:pt idx="12">
                  <c:v>4.2328042328042326E-2</c:v>
                </c:pt>
                <c:pt idx="13">
                  <c:v>0.11627906976744186</c:v>
                </c:pt>
                <c:pt idx="14">
                  <c:v>2.0547945205479451E-2</c:v>
                </c:pt>
                <c:pt idx="15">
                  <c:v>4.2929292929292928E-2</c:v>
                </c:pt>
                <c:pt idx="16">
                  <c:v>6.7567567567567571E-2</c:v>
                </c:pt>
                <c:pt idx="17">
                  <c:v>2.8225806451612902E-2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CB7-4DA2-AEAD-1AD94861954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1093259888"/>
        <c:axId val="1093253648"/>
      </c:barChart>
      <c:catAx>
        <c:axId val="10932598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093253648"/>
        <c:crosses val="autoZero"/>
        <c:auto val="1"/>
        <c:lblAlgn val="ctr"/>
        <c:lblOffset val="100"/>
        <c:noMultiLvlLbl val="0"/>
      </c:catAx>
      <c:valAx>
        <c:axId val="1093253648"/>
        <c:scaling>
          <c:orientation val="minMax"/>
        </c:scaling>
        <c:delete val="0"/>
        <c:axPos val="l"/>
        <c:numFmt formatCode="0.00%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標楷體" panose="03000509000000000000" pitchFamily="65" charset="-120"/>
                <a:ea typeface="標楷體" panose="03000509000000000000" pitchFamily="65" charset="-120"/>
                <a:cs typeface="+mn-cs"/>
              </a:defRPr>
            </a:pPr>
            <a:endParaRPr lang="zh-TW"/>
          </a:p>
        </c:txPr>
        <c:crossAx val="10932598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6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>
            <a:lumMod val="95000"/>
          </a:schemeClr>
        </a:fgClr>
        <a:bgClr>
          <a:schemeClr val="lt1"/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317500" algn="ctr" rotWithShape="0">
          <a:prstClr val="black">
            <a:alpha val="25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20000"/>
          </a:prstClr>
        </a:outerShdw>
      </a:effectLst>
      <a:scene3d>
        <a:camera prst="orthographicFront"/>
        <a:lightRig rig="threePt" dir="t"/>
      </a:scene3d>
      <a:sp3d prstMaterial="matte"/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noFill/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8000"/>
        </a:schemeClr>
      </a:solidFill>
    </cs:spPr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65000"/>
        <a:lumOff val="3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6</Pages>
  <Words>448</Words>
  <Characters>2556</Characters>
  <Application>Microsoft Office Word</Application>
  <DocSecurity>0</DocSecurity>
  <Lines>21</Lines>
  <Paragraphs>5</Paragraphs>
  <ScaleCrop>false</ScaleCrop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金儒強</dc:creator>
  <cp:keywords/>
  <dc:description/>
  <cp:lastModifiedBy>金儒強</cp:lastModifiedBy>
  <cp:revision>6</cp:revision>
  <dcterms:created xsi:type="dcterms:W3CDTF">2020-06-20T07:57:00Z</dcterms:created>
  <dcterms:modified xsi:type="dcterms:W3CDTF">2020-08-12T02:36:00Z</dcterms:modified>
</cp:coreProperties>
</file>